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73" w:rsidRDefault="00381173" w:rsidP="00381173">
      <w:pPr>
        <w:spacing w:before="120" w:after="120" w:line="276" w:lineRule="auto"/>
        <w:jc w:val="both"/>
        <w:rPr>
          <w:rFonts w:ascii="Palatino Linotype" w:hAnsi="Palatino Linotype" w:cs="Times New Roman"/>
          <w:b/>
        </w:rPr>
      </w:pPr>
      <w:r w:rsidRPr="00C41EE7">
        <w:rPr>
          <w:rFonts w:ascii="Palatino Linotype" w:hAnsi="Palatino Linotype" w:cs="Times New Roman"/>
          <w:b/>
        </w:rPr>
        <w:t>Evolving EV ecosystem in India</w:t>
      </w:r>
    </w:p>
    <w:p w:rsidR="00381173" w:rsidRPr="00C41EE7" w:rsidRDefault="00381173" w:rsidP="00381173">
      <w:pPr>
        <w:spacing w:before="120" w:after="120" w:line="276" w:lineRule="auto"/>
        <w:jc w:val="both"/>
        <w:rPr>
          <w:rFonts w:ascii="Palatino Linotype" w:hAnsi="Palatino Linotype" w:cs="Times New Roman"/>
          <w:b/>
        </w:rPr>
      </w:pPr>
      <w:r w:rsidRPr="00C41EE7">
        <w:rPr>
          <w:rFonts w:ascii="Palatino Linotype" w:hAnsi="Palatino Linotype" w:cs="Times New Roman"/>
          <w:i/>
        </w:rPr>
        <w:t>By</w:t>
      </w:r>
      <w:r w:rsidRPr="00C41EE7">
        <w:rPr>
          <w:rFonts w:ascii="Palatino Linotype" w:hAnsi="Palatino Linotype" w:cs="Times New Roman"/>
          <w:b/>
        </w:rPr>
        <w:t xml:space="preserve"> Brijesh Kothary and Amber Kumrawat</w:t>
      </w:r>
    </w:p>
    <w:p w:rsidR="00381173" w:rsidRPr="00C41EE7" w:rsidRDefault="00381173" w:rsidP="00381173">
      <w:pPr>
        <w:tabs>
          <w:tab w:val="left" w:pos="1115"/>
        </w:tabs>
        <w:spacing w:line="276" w:lineRule="auto"/>
        <w:jc w:val="both"/>
        <w:rPr>
          <w:rFonts w:ascii="Palatino Linotype" w:hAnsi="Palatino Linotype" w:cs="Times New Roman"/>
          <w:b/>
          <w:bCs/>
          <w:lang w:val="en-US"/>
        </w:rPr>
      </w:pPr>
      <w:r w:rsidRPr="00C41EE7">
        <w:rPr>
          <w:rFonts w:ascii="Palatino Linotype" w:hAnsi="Palatino Linotype" w:cs="Times New Roman"/>
          <w:b/>
          <w:bCs/>
          <w:lang w:val="en-US"/>
        </w:rPr>
        <w:t>Background</w:t>
      </w:r>
    </w:p>
    <w:p w:rsidR="00381173" w:rsidRPr="00C41EE7" w:rsidRDefault="00381173" w:rsidP="00381173">
      <w:pPr>
        <w:tabs>
          <w:tab w:val="left" w:pos="1115"/>
        </w:tabs>
        <w:spacing w:line="276" w:lineRule="auto"/>
        <w:jc w:val="both"/>
        <w:rPr>
          <w:rFonts w:ascii="Palatino Linotype" w:hAnsi="Palatino Linotype" w:cs="Times New Roman"/>
          <w:lang w:val="en-US"/>
        </w:rPr>
      </w:pPr>
      <w:r>
        <w:rPr>
          <w:rFonts w:ascii="Palatino Linotype" w:hAnsi="Palatino Linotype" w:cs="Times New Roman"/>
          <w:lang w:val="en-US"/>
        </w:rPr>
        <w:tab/>
      </w:r>
      <w:r w:rsidRPr="00C41EE7">
        <w:rPr>
          <w:rFonts w:ascii="Palatino Linotype" w:hAnsi="Palatino Linotype" w:cs="Times New Roman"/>
          <w:lang w:val="en-US"/>
        </w:rPr>
        <w:t>The switch from internal combustion engine (</w:t>
      </w:r>
      <w:r>
        <w:rPr>
          <w:rFonts w:ascii="Palatino Linotype" w:hAnsi="Palatino Linotype" w:cs="Times New Roman"/>
          <w:lang w:val="en-US"/>
        </w:rPr>
        <w:t>‘</w:t>
      </w:r>
      <w:r w:rsidRPr="00B22959">
        <w:rPr>
          <w:rFonts w:ascii="Palatino Linotype" w:hAnsi="Palatino Linotype" w:cs="Times New Roman"/>
          <w:b/>
          <w:lang w:val="en-US"/>
        </w:rPr>
        <w:t>ICE</w:t>
      </w:r>
      <w:r>
        <w:rPr>
          <w:rFonts w:ascii="Palatino Linotype" w:hAnsi="Palatino Linotype" w:cs="Times New Roman"/>
          <w:lang w:val="en-US"/>
        </w:rPr>
        <w:t>’</w:t>
      </w:r>
      <w:r w:rsidRPr="00C41EE7">
        <w:rPr>
          <w:rFonts w:ascii="Palatino Linotype" w:hAnsi="Palatino Linotype" w:cs="Times New Roman"/>
          <w:lang w:val="en-US"/>
        </w:rPr>
        <w:t>) vehicles to electric vehicles (</w:t>
      </w:r>
      <w:r>
        <w:rPr>
          <w:rFonts w:ascii="Palatino Linotype" w:hAnsi="Palatino Linotype" w:cs="Times New Roman"/>
          <w:lang w:val="en-US"/>
        </w:rPr>
        <w:t>‘</w:t>
      </w:r>
      <w:r w:rsidRPr="00B22959">
        <w:rPr>
          <w:rFonts w:ascii="Palatino Linotype" w:hAnsi="Palatino Linotype" w:cs="Times New Roman"/>
          <w:b/>
          <w:lang w:val="en-US"/>
        </w:rPr>
        <w:t>EV</w:t>
      </w:r>
      <w:r>
        <w:rPr>
          <w:rFonts w:ascii="Palatino Linotype" w:hAnsi="Palatino Linotype" w:cs="Times New Roman"/>
          <w:lang w:val="en-US"/>
        </w:rPr>
        <w:t>’</w:t>
      </w:r>
      <w:r w:rsidRPr="00C41EE7">
        <w:rPr>
          <w:rFonts w:ascii="Palatino Linotype" w:hAnsi="Palatino Linotype" w:cs="Times New Roman"/>
          <w:lang w:val="en-US"/>
        </w:rPr>
        <w:t>) in global market is primarily driven by the global climate agenda as detailed in the Paris Agreement under United Nations Framework Convention on Climate Change (UNFCCC)</w:t>
      </w:r>
      <w:r w:rsidRPr="00C41EE7">
        <w:rPr>
          <w:rStyle w:val="FootnoteReference"/>
          <w:rFonts w:ascii="Palatino Linotype" w:hAnsi="Palatino Linotype" w:cs="Times New Roman"/>
          <w:lang w:val="en-US"/>
        </w:rPr>
        <w:footnoteReference w:id="1"/>
      </w:r>
      <w:r w:rsidRPr="00C41EE7">
        <w:rPr>
          <w:rFonts w:ascii="Palatino Linotype" w:hAnsi="Palatino Linotype" w:cs="Times New Roman"/>
          <w:lang w:val="en-US"/>
        </w:rPr>
        <w:t xml:space="preserve">, to reduce carbon emissions for combating the alarming issue of global warming. </w:t>
      </w:r>
    </w:p>
    <w:p w:rsidR="00381173" w:rsidRPr="00C41EE7" w:rsidRDefault="00381173" w:rsidP="00381173">
      <w:pPr>
        <w:tabs>
          <w:tab w:val="left" w:pos="1115"/>
        </w:tabs>
        <w:spacing w:before="240" w:line="276" w:lineRule="auto"/>
        <w:jc w:val="both"/>
        <w:rPr>
          <w:rFonts w:ascii="Palatino Linotype" w:hAnsi="Palatino Linotype" w:cs="Times New Roman"/>
          <w:lang w:val="en-US"/>
        </w:rPr>
      </w:pPr>
      <w:r>
        <w:rPr>
          <w:rFonts w:ascii="Palatino Linotype" w:hAnsi="Palatino Linotype" w:cs="Times New Roman"/>
          <w:lang w:val="en-US"/>
        </w:rPr>
        <w:tab/>
      </w:r>
      <w:r w:rsidRPr="00C41EE7">
        <w:rPr>
          <w:rFonts w:ascii="Palatino Linotype" w:hAnsi="Palatino Linotype" w:cs="Times New Roman"/>
          <w:lang w:val="en-US"/>
        </w:rPr>
        <w:t>Right from the year 2012, the Indian Government has been taking continuous steps to develop and promote EV ecosystem in the country, witnesseth from National Electric Mobility Mission Plan (</w:t>
      </w:r>
      <w:r>
        <w:rPr>
          <w:rFonts w:ascii="Palatino Linotype" w:hAnsi="Palatino Linotype" w:cs="Times New Roman"/>
          <w:lang w:val="en-US"/>
        </w:rPr>
        <w:t>‘</w:t>
      </w:r>
      <w:r w:rsidRPr="000E724A">
        <w:rPr>
          <w:rFonts w:ascii="Palatino Linotype" w:hAnsi="Palatino Linotype" w:cs="Times New Roman"/>
          <w:b/>
          <w:lang w:val="en-US"/>
        </w:rPr>
        <w:t>NEMP</w:t>
      </w:r>
      <w:r>
        <w:rPr>
          <w:rFonts w:ascii="Palatino Linotype" w:hAnsi="Palatino Linotype" w:cs="Times New Roman"/>
          <w:lang w:val="en-US"/>
        </w:rPr>
        <w:t>’</w:t>
      </w:r>
      <w:r w:rsidRPr="00C41EE7">
        <w:rPr>
          <w:rFonts w:ascii="Palatino Linotype" w:hAnsi="Palatino Linotype" w:cs="Times New Roman"/>
          <w:lang w:val="en-US"/>
        </w:rPr>
        <w:t>) to introduction of Faster Adoption and Manufacturing of EVs scheme (</w:t>
      </w:r>
      <w:r>
        <w:rPr>
          <w:rFonts w:ascii="Palatino Linotype" w:hAnsi="Palatino Linotype" w:cs="Times New Roman"/>
          <w:lang w:val="en-US"/>
        </w:rPr>
        <w:t>‘</w:t>
      </w:r>
      <w:r w:rsidRPr="000E724A">
        <w:rPr>
          <w:rFonts w:ascii="Palatino Linotype" w:hAnsi="Palatino Linotype" w:cs="Times New Roman"/>
          <w:b/>
          <w:lang w:val="en-US"/>
        </w:rPr>
        <w:t>FAME</w:t>
      </w:r>
      <w:r>
        <w:rPr>
          <w:rFonts w:ascii="Palatino Linotype" w:hAnsi="Palatino Linotype" w:cs="Times New Roman"/>
          <w:lang w:val="en-US"/>
        </w:rPr>
        <w:t>’</w:t>
      </w:r>
      <w:r w:rsidRPr="00C41EE7">
        <w:rPr>
          <w:rFonts w:ascii="Palatino Linotype" w:hAnsi="Palatino Linotype" w:cs="Times New Roman"/>
          <w:lang w:val="en-US"/>
        </w:rPr>
        <w:t>) on the consumer side and Production-linked Incentive Scheme (</w:t>
      </w:r>
      <w:r>
        <w:rPr>
          <w:rFonts w:ascii="Palatino Linotype" w:hAnsi="Palatino Linotype" w:cs="Times New Roman"/>
          <w:lang w:val="en-US"/>
        </w:rPr>
        <w:t>‘</w:t>
      </w:r>
      <w:r w:rsidRPr="000E724A">
        <w:rPr>
          <w:rFonts w:ascii="Palatino Linotype" w:hAnsi="Palatino Linotype" w:cs="Times New Roman"/>
          <w:b/>
          <w:lang w:val="en-US"/>
        </w:rPr>
        <w:t>PLI</w:t>
      </w:r>
      <w:r>
        <w:rPr>
          <w:rFonts w:ascii="Palatino Linotype" w:hAnsi="Palatino Linotype" w:cs="Times New Roman"/>
          <w:lang w:val="en-US"/>
        </w:rPr>
        <w:t>’</w:t>
      </w:r>
      <w:r w:rsidRPr="00C41EE7">
        <w:rPr>
          <w:rFonts w:ascii="Palatino Linotype" w:hAnsi="Palatino Linotype" w:cs="Times New Roman"/>
          <w:lang w:val="en-US"/>
        </w:rPr>
        <w:t>) for Advanced Chemistry Cell (</w:t>
      </w:r>
      <w:r>
        <w:rPr>
          <w:rFonts w:ascii="Palatino Linotype" w:hAnsi="Palatino Linotype" w:cs="Times New Roman"/>
          <w:lang w:val="en-US"/>
        </w:rPr>
        <w:t>‘</w:t>
      </w:r>
      <w:r w:rsidRPr="000E724A">
        <w:rPr>
          <w:rFonts w:ascii="Palatino Linotype" w:hAnsi="Palatino Linotype" w:cs="Times New Roman"/>
          <w:b/>
          <w:lang w:val="en-US"/>
        </w:rPr>
        <w:t>ACC</w:t>
      </w:r>
      <w:r>
        <w:rPr>
          <w:rFonts w:ascii="Palatino Linotype" w:hAnsi="Palatino Linotype" w:cs="Times New Roman"/>
          <w:lang w:val="en-US"/>
        </w:rPr>
        <w:t>’</w:t>
      </w:r>
      <w:r w:rsidRPr="00C41EE7">
        <w:rPr>
          <w:rFonts w:ascii="Palatino Linotype" w:hAnsi="Palatino Linotype" w:cs="Times New Roman"/>
          <w:lang w:val="en-US"/>
        </w:rPr>
        <w:t xml:space="preserve">) as well as for Auto and Automotive Components manufacturers on the supplier side. </w:t>
      </w:r>
    </w:p>
    <w:p w:rsidR="00381173" w:rsidRPr="00C41EE7" w:rsidRDefault="00381173" w:rsidP="00381173">
      <w:pPr>
        <w:tabs>
          <w:tab w:val="left" w:pos="1115"/>
        </w:tabs>
        <w:spacing w:before="240" w:line="276" w:lineRule="auto"/>
        <w:jc w:val="both"/>
        <w:rPr>
          <w:rFonts w:ascii="Palatino Linotype" w:hAnsi="Palatino Linotype" w:cs="Times New Roman"/>
          <w:lang w:val="en-US"/>
        </w:rPr>
      </w:pPr>
      <w:r>
        <w:rPr>
          <w:rFonts w:ascii="Palatino Linotype" w:hAnsi="Palatino Linotype" w:cs="Times New Roman"/>
          <w:lang w:val="en-US"/>
        </w:rPr>
        <w:tab/>
      </w:r>
      <w:r w:rsidRPr="00C41EE7">
        <w:rPr>
          <w:rFonts w:ascii="Palatino Linotype" w:hAnsi="Palatino Linotype" w:cs="Times New Roman"/>
          <w:lang w:val="en-US"/>
        </w:rPr>
        <w:t xml:space="preserve">India being one of the world’s largest automobile market, has always been a market of interest for multinational automobiles companies to launch their EVs, thereby benefitting out of the market opportunities presented by this segment. The Government is looking up to these companies to set up manufacturing/assembly units here, </w:t>
      </w:r>
      <w:proofErr w:type="gramStart"/>
      <w:r w:rsidRPr="00C41EE7">
        <w:rPr>
          <w:rFonts w:ascii="Palatino Linotype" w:hAnsi="Palatino Linotype" w:cs="Times New Roman"/>
          <w:lang w:val="en-US"/>
        </w:rPr>
        <w:t>in order to</w:t>
      </w:r>
      <w:proofErr w:type="gramEnd"/>
      <w:r w:rsidRPr="00C41EE7">
        <w:rPr>
          <w:rFonts w:ascii="Palatino Linotype" w:hAnsi="Palatino Linotype" w:cs="Times New Roman"/>
          <w:lang w:val="en-US"/>
        </w:rPr>
        <w:t xml:space="preserve"> promote Make in India initiative. However, regardless of the ambitious targets set by the government, the penetration of EVs in the Indian market continues to be at a nascent stage.</w:t>
      </w:r>
    </w:p>
    <w:p w:rsidR="00381173" w:rsidRPr="00C41EE7" w:rsidRDefault="00381173" w:rsidP="00381173">
      <w:pPr>
        <w:tabs>
          <w:tab w:val="left" w:pos="1115"/>
        </w:tabs>
        <w:spacing w:before="240" w:line="276" w:lineRule="auto"/>
        <w:jc w:val="both"/>
        <w:rPr>
          <w:rFonts w:ascii="Palatino Linotype" w:hAnsi="Palatino Linotype" w:cs="Times New Roman"/>
          <w:lang w:val="en-US"/>
        </w:rPr>
      </w:pPr>
      <w:r>
        <w:rPr>
          <w:rFonts w:ascii="Palatino Linotype" w:hAnsi="Palatino Linotype" w:cs="Times New Roman"/>
          <w:lang w:val="en-US"/>
        </w:rPr>
        <w:tab/>
      </w:r>
      <w:r w:rsidRPr="00C41EE7">
        <w:rPr>
          <w:rFonts w:ascii="Palatino Linotype" w:hAnsi="Palatino Linotype" w:cs="Times New Roman"/>
          <w:lang w:val="en-US"/>
        </w:rPr>
        <w:t>The Union Finance Minister while presenting the Finance Budget for the year 2022-2023 has made various announcements to edify the EV ecosystem in India and consequently some amendments have been introduced in notifications prescribing concessional rate of duty for import of EVs.</w:t>
      </w:r>
    </w:p>
    <w:p w:rsidR="00381173" w:rsidRPr="00C41EE7" w:rsidRDefault="00381173" w:rsidP="00381173">
      <w:pPr>
        <w:tabs>
          <w:tab w:val="left" w:pos="1115"/>
        </w:tabs>
        <w:spacing w:before="240" w:line="276" w:lineRule="auto"/>
        <w:jc w:val="both"/>
        <w:rPr>
          <w:rFonts w:ascii="Palatino Linotype" w:hAnsi="Palatino Linotype" w:cs="Times New Roman"/>
          <w:lang w:val="en-US"/>
        </w:rPr>
      </w:pPr>
      <w:r>
        <w:rPr>
          <w:rFonts w:ascii="Palatino Linotype" w:hAnsi="Palatino Linotype" w:cs="Times New Roman"/>
          <w:lang w:val="en-US"/>
        </w:rPr>
        <w:tab/>
      </w:r>
      <w:r w:rsidRPr="00C41EE7">
        <w:rPr>
          <w:rFonts w:ascii="Palatino Linotype" w:hAnsi="Palatino Linotype" w:cs="Times New Roman"/>
          <w:lang w:val="en-US"/>
        </w:rPr>
        <w:t xml:space="preserve">With this article, we have tried to highlight the changes in entries relating to EVs and their probable impact on the EV ecosystem in India. </w:t>
      </w:r>
    </w:p>
    <w:p w:rsidR="00381173" w:rsidRPr="00C41EE7" w:rsidRDefault="00381173" w:rsidP="00381173">
      <w:pPr>
        <w:tabs>
          <w:tab w:val="left" w:pos="1115"/>
        </w:tabs>
        <w:spacing w:line="276" w:lineRule="auto"/>
        <w:jc w:val="both"/>
        <w:rPr>
          <w:rFonts w:ascii="Palatino Linotype" w:hAnsi="Palatino Linotype" w:cs="Times New Roman"/>
          <w:lang w:val="en-US"/>
        </w:rPr>
      </w:pPr>
    </w:p>
    <w:p w:rsidR="00381173" w:rsidRPr="00C41EE7" w:rsidRDefault="00381173" w:rsidP="00381173">
      <w:pPr>
        <w:tabs>
          <w:tab w:val="left" w:pos="1115"/>
        </w:tabs>
        <w:spacing w:after="240" w:line="276" w:lineRule="auto"/>
        <w:jc w:val="both"/>
        <w:rPr>
          <w:rFonts w:ascii="Palatino Linotype" w:hAnsi="Palatino Linotype" w:cs="Times New Roman"/>
          <w:b/>
          <w:bCs/>
        </w:rPr>
      </w:pPr>
      <w:r w:rsidRPr="00C41EE7">
        <w:rPr>
          <w:rFonts w:ascii="Palatino Linotype" w:hAnsi="Palatino Linotype" w:cs="Times New Roman"/>
          <w:b/>
          <w:bCs/>
          <w:lang w:val="en-US"/>
        </w:rPr>
        <w:t xml:space="preserve">Applicable rate of basic customs duty </w:t>
      </w:r>
      <w:r>
        <w:rPr>
          <w:rFonts w:ascii="Palatino Linotype" w:hAnsi="Palatino Linotype" w:cs="Times New Roman"/>
          <w:b/>
          <w:bCs/>
        </w:rPr>
        <w:t>on</w:t>
      </w:r>
      <w:r w:rsidRPr="00C41EE7">
        <w:rPr>
          <w:rFonts w:ascii="Palatino Linotype" w:hAnsi="Palatino Linotype" w:cs="Times New Roman"/>
          <w:b/>
          <w:bCs/>
        </w:rPr>
        <w:t xml:space="preserve"> EVs</w:t>
      </w:r>
    </w:p>
    <w:p w:rsidR="00381173" w:rsidRPr="00C41EE7" w:rsidRDefault="00381173" w:rsidP="00381173">
      <w:pPr>
        <w:tabs>
          <w:tab w:val="left" w:pos="1115"/>
        </w:tabs>
        <w:spacing w:line="276" w:lineRule="auto"/>
        <w:jc w:val="both"/>
        <w:rPr>
          <w:rFonts w:ascii="Palatino Linotype" w:hAnsi="Palatino Linotype" w:cs="Times New Roman"/>
          <w:lang w:val="en-US"/>
        </w:rPr>
      </w:pPr>
      <w:r>
        <w:rPr>
          <w:rFonts w:ascii="Palatino Linotype" w:hAnsi="Palatino Linotype" w:cs="Times New Roman"/>
        </w:rPr>
        <w:tab/>
      </w:r>
      <w:r w:rsidRPr="00C41EE7">
        <w:rPr>
          <w:rFonts w:ascii="Palatino Linotype" w:hAnsi="Palatino Linotype" w:cs="Times New Roman"/>
        </w:rPr>
        <w:t xml:space="preserve">Until the year of 2015, the Government of India levied uniform rate of basic customs duty on ICE vehicles and EVs imported into India. </w:t>
      </w:r>
      <w:r w:rsidRPr="00B74518">
        <w:rPr>
          <w:rFonts w:ascii="Palatino Linotype" w:hAnsi="Palatino Linotype" w:cs="Times New Roman"/>
          <w:i/>
        </w:rPr>
        <w:t>Vide</w:t>
      </w:r>
      <w:r w:rsidRPr="00C41EE7">
        <w:rPr>
          <w:rFonts w:ascii="Palatino Linotype" w:hAnsi="Palatino Linotype" w:cs="Times New Roman"/>
        </w:rPr>
        <w:t xml:space="preserve"> </w:t>
      </w:r>
      <w:r w:rsidRPr="00C41EE7">
        <w:rPr>
          <w:rFonts w:ascii="Palatino Linotype" w:hAnsi="Palatino Linotype" w:cs="Times New Roman"/>
          <w:iCs/>
        </w:rPr>
        <w:t>Notification No. 10/2015-Cus dated 1</w:t>
      </w:r>
      <w:r>
        <w:rPr>
          <w:rFonts w:ascii="Palatino Linotype" w:hAnsi="Palatino Linotype" w:cs="Times New Roman"/>
          <w:iCs/>
        </w:rPr>
        <w:t xml:space="preserve"> March </w:t>
      </w:r>
      <w:r w:rsidRPr="00C41EE7">
        <w:rPr>
          <w:rFonts w:ascii="Palatino Linotype" w:hAnsi="Palatino Linotype" w:cs="Times New Roman"/>
          <w:iCs/>
        </w:rPr>
        <w:t xml:space="preserve">2015, </w:t>
      </w:r>
      <w:r w:rsidRPr="00C41EE7">
        <w:rPr>
          <w:rFonts w:ascii="Palatino Linotype" w:hAnsi="Palatino Linotype" w:cs="Times New Roman"/>
        </w:rPr>
        <w:t xml:space="preserve">an entry at S. No. 436B was introduced in the </w:t>
      </w:r>
      <w:r w:rsidRPr="00C41EE7">
        <w:rPr>
          <w:rFonts w:ascii="Palatino Linotype" w:hAnsi="Palatino Linotype" w:cs="Times New Roman"/>
          <w:iCs/>
        </w:rPr>
        <w:t>Notification No. 12/2012-Cus</w:t>
      </w:r>
      <w:r>
        <w:rPr>
          <w:rFonts w:ascii="Palatino Linotype" w:hAnsi="Palatino Linotype" w:cs="Times New Roman"/>
        </w:rPr>
        <w:t xml:space="preserve">., </w:t>
      </w:r>
      <w:r w:rsidRPr="00C41EE7">
        <w:rPr>
          <w:rFonts w:ascii="Palatino Linotype" w:hAnsi="Palatino Linotype" w:cs="Times New Roman"/>
        </w:rPr>
        <w:t xml:space="preserve">dated </w:t>
      </w:r>
      <w:r w:rsidRPr="00C41EE7">
        <w:rPr>
          <w:rFonts w:ascii="Palatino Linotype" w:hAnsi="Palatino Linotype" w:cs="Times New Roman"/>
          <w:iCs/>
        </w:rPr>
        <w:t>17</w:t>
      </w:r>
      <w:r>
        <w:rPr>
          <w:rFonts w:ascii="Palatino Linotype" w:hAnsi="Palatino Linotype" w:cs="Times New Roman"/>
          <w:iCs/>
        </w:rPr>
        <w:t xml:space="preserve"> March </w:t>
      </w:r>
      <w:r w:rsidRPr="00C41EE7">
        <w:rPr>
          <w:rFonts w:ascii="Palatino Linotype" w:hAnsi="Palatino Linotype" w:cs="Times New Roman"/>
          <w:iCs/>
        </w:rPr>
        <w:t>2012</w:t>
      </w:r>
      <w:r w:rsidRPr="00C41EE7">
        <w:rPr>
          <w:rFonts w:ascii="Palatino Linotype" w:hAnsi="Palatino Linotype" w:cs="Times New Roman"/>
        </w:rPr>
        <w:t xml:space="preserve"> to prescribe a concessional rate of basic customs duty (</w:t>
      </w:r>
      <w:r>
        <w:rPr>
          <w:rFonts w:ascii="Palatino Linotype" w:hAnsi="Palatino Linotype" w:cs="Times New Roman"/>
        </w:rPr>
        <w:t>‘</w:t>
      </w:r>
      <w:r w:rsidRPr="00884907">
        <w:rPr>
          <w:rFonts w:ascii="Palatino Linotype" w:hAnsi="Palatino Linotype" w:cs="Times New Roman"/>
          <w:b/>
        </w:rPr>
        <w:t>BCD</w:t>
      </w:r>
      <w:r>
        <w:rPr>
          <w:rFonts w:ascii="Palatino Linotype" w:hAnsi="Palatino Linotype" w:cs="Times New Roman"/>
        </w:rPr>
        <w:t>’</w:t>
      </w:r>
      <w:r w:rsidRPr="00C41EE7">
        <w:rPr>
          <w:rFonts w:ascii="Palatino Linotype" w:hAnsi="Palatino Linotype" w:cs="Times New Roman"/>
        </w:rPr>
        <w:t xml:space="preserve">) for ‘EVs for transport of ten or more persons’. Thereafter, </w:t>
      </w:r>
      <w:r w:rsidRPr="00884907">
        <w:rPr>
          <w:rFonts w:ascii="Palatino Linotype" w:hAnsi="Palatino Linotype" w:cs="Times New Roman"/>
          <w:i/>
        </w:rPr>
        <w:t>vide</w:t>
      </w:r>
      <w:r w:rsidRPr="00C41EE7">
        <w:rPr>
          <w:rFonts w:ascii="Palatino Linotype" w:hAnsi="Palatino Linotype" w:cs="Times New Roman"/>
        </w:rPr>
        <w:t xml:space="preserve"> </w:t>
      </w:r>
      <w:r w:rsidRPr="00C41EE7">
        <w:rPr>
          <w:rFonts w:ascii="Palatino Linotype" w:hAnsi="Palatino Linotype" w:cs="Times New Roman"/>
          <w:iCs/>
        </w:rPr>
        <w:t>Notification No. 3/2019-Cus</w:t>
      </w:r>
      <w:r>
        <w:rPr>
          <w:rFonts w:ascii="Palatino Linotype" w:hAnsi="Palatino Linotype" w:cs="Times New Roman"/>
          <w:iCs/>
        </w:rPr>
        <w:t>.,</w:t>
      </w:r>
      <w:r w:rsidRPr="00C41EE7">
        <w:rPr>
          <w:rFonts w:ascii="Palatino Linotype" w:hAnsi="Palatino Linotype" w:cs="Times New Roman"/>
          <w:iCs/>
        </w:rPr>
        <w:t xml:space="preserve"> dated 29</w:t>
      </w:r>
      <w:r>
        <w:rPr>
          <w:rFonts w:ascii="Palatino Linotype" w:hAnsi="Palatino Linotype" w:cs="Times New Roman"/>
          <w:iCs/>
        </w:rPr>
        <w:t xml:space="preserve"> January </w:t>
      </w:r>
      <w:r w:rsidRPr="00C41EE7">
        <w:rPr>
          <w:rFonts w:ascii="Palatino Linotype" w:hAnsi="Palatino Linotype" w:cs="Times New Roman"/>
          <w:iCs/>
        </w:rPr>
        <w:t>2019</w:t>
      </w:r>
      <w:r w:rsidRPr="00C41EE7">
        <w:rPr>
          <w:rFonts w:ascii="Palatino Linotype" w:hAnsi="Palatino Linotype" w:cs="Times New Roman"/>
        </w:rPr>
        <w:t xml:space="preserve"> a separate entry for electric cars was introduced in Notification No. 50/2017-</w:t>
      </w:r>
      <w:r w:rsidRPr="00C41EE7">
        <w:rPr>
          <w:rFonts w:ascii="Palatino Linotype" w:hAnsi="Palatino Linotype" w:cs="Times New Roman"/>
        </w:rPr>
        <w:lastRenderedPageBreak/>
        <w:t>Cus</w:t>
      </w:r>
      <w:r>
        <w:rPr>
          <w:rFonts w:ascii="Palatino Linotype" w:hAnsi="Palatino Linotype" w:cs="Times New Roman"/>
        </w:rPr>
        <w:t>.,</w:t>
      </w:r>
      <w:r w:rsidRPr="00C41EE7">
        <w:rPr>
          <w:rFonts w:ascii="Palatino Linotype" w:hAnsi="Palatino Linotype" w:cs="Times New Roman"/>
        </w:rPr>
        <w:t xml:space="preserve"> dated 30</w:t>
      </w:r>
      <w:r>
        <w:rPr>
          <w:rFonts w:ascii="Palatino Linotype" w:hAnsi="Palatino Linotype" w:cs="Times New Roman"/>
        </w:rPr>
        <w:t xml:space="preserve"> June </w:t>
      </w:r>
      <w:r w:rsidRPr="00C41EE7">
        <w:rPr>
          <w:rFonts w:ascii="Palatino Linotype" w:hAnsi="Palatino Linotype" w:cs="Times New Roman"/>
        </w:rPr>
        <w:t>2017 (</w:t>
      </w:r>
      <w:r>
        <w:rPr>
          <w:rFonts w:ascii="Palatino Linotype" w:hAnsi="Palatino Linotype" w:cs="Times New Roman"/>
        </w:rPr>
        <w:t>‘</w:t>
      </w:r>
      <w:r w:rsidRPr="00884907">
        <w:rPr>
          <w:rFonts w:ascii="Palatino Linotype" w:hAnsi="Palatino Linotype" w:cs="Times New Roman"/>
          <w:b/>
        </w:rPr>
        <w:t>Exemption Notification</w:t>
      </w:r>
      <w:r>
        <w:rPr>
          <w:rFonts w:ascii="Palatino Linotype" w:hAnsi="Palatino Linotype" w:cs="Times New Roman"/>
        </w:rPr>
        <w:t>’</w:t>
      </w:r>
      <w:r w:rsidRPr="00C41EE7">
        <w:rPr>
          <w:rFonts w:ascii="Palatino Linotype" w:hAnsi="Palatino Linotype" w:cs="Times New Roman"/>
        </w:rPr>
        <w:t xml:space="preserve">). This </w:t>
      </w:r>
      <w:r w:rsidRPr="00C41EE7">
        <w:rPr>
          <w:rFonts w:ascii="Palatino Linotype" w:hAnsi="Palatino Linotype" w:cs="Times New Roman"/>
          <w:lang w:val="en-US"/>
        </w:rPr>
        <w:t xml:space="preserve">entry is substituted with a new entry </w:t>
      </w:r>
      <w:r w:rsidRPr="00884907">
        <w:rPr>
          <w:rFonts w:ascii="Palatino Linotype" w:hAnsi="Palatino Linotype" w:cs="Times New Roman"/>
          <w:i/>
          <w:lang w:val="en-US"/>
        </w:rPr>
        <w:t>vide</w:t>
      </w:r>
      <w:r w:rsidRPr="00C41EE7">
        <w:rPr>
          <w:rFonts w:ascii="Palatino Linotype" w:hAnsi="Palatino Linotype" w:cs="Times New Roman"/>
          <w:lang w:val="en-US"/>
        </w:rPr>
        <w:t xml:space="preserve"> Notification No. 2/2022-Cus</w:t>
      </w:r>
      <w:r>
        <w:rPr>
          <w:rFonts w:ascii="Palatino Linotype" w:hAnsi="Palatino Linotype" w:cs="Times New Roman"/>
          <w:lang w:val="en-US"/>
        </w:rPr>
        <w:t>.,</w:t>
      </w:r>
      <w:r w:rsidRPr="00C41EE7">
        <w:rPr>
          <w:rFonts w:ascii="Palatino Linotype" w:hAnsi="Palatino Linotype" w:cs="Times New Roman"/>
          <w:lang w:val="en-US"/>
        </w:rPr>
        <w:t xml:space="preserve"> dated 2</w:t>
      </w:r>
      <w:r>
        <w:rPr>
          <w:rFonts w:ascii="Palatino Linotype" w:hAnsi="Palatino Linotype" w:cs="Times New Roman"/>
          <w:lang w:val="en-US"/>
        </w:rPr>
        <w:t xml:space="preserve"> February </w:t>
      </w:r>
      <w:r w:rsidRPr="00C41EE7">
        <w:rPr>
          <w:rFonts w:ascii="Palatino Linotype" w:hAnsi="Palatino Linotype" w:cs="Times New Roman"/>
          <w:lang w:val="en-US"/>
        </w:rPr>
        <w:t xml:space="preserve">2022. The changes carried out in the substituted entry in Exemption Notification </w:t>
      </w:r>
      <w:r w:rsidRPr="00C41EE7">
        <w:rPr>
          <w:rFonts w:ascii="Palatino Linotype" w:hAnsi="Palatino Linotype" w:cs="Times New Roman"/>
        </w:rPr>
        <w:t>dated 30</w:t>
      </w:r>
      <w:r>
        <w:rPr>
          <w:rFonts w:ascii="Palatino Linotype" w:hAnsi="Palatino Linotype" w:cs="Times New Roman"/>
        </w:rPr>
        <w:t xml:space="preserve"> June </w:t>
      </w:r>
      <w:r w:rsidRPr="00C41EE7">
        <w:rPr>
          <w:rFonts w:ascii="Palatino Linotype" w:hAnsi="Palatino Linotype" w:cs="Times New Roman"/>
        </w:rPr>
        <w:t>2017</w:t>
      </w:r>
      <w:r w:rsidRPr="00C41EE7">
        <w:rPr>
          <w:rFonts w:ascii="Palatino Linotype" w:hAnsi="Palatino Linotype" w:cs="Times New Roman"/>
          <w:lang w:val="en-US"/>
        </w:rPr>
        <w:t xml:space="preserve"> </w:t>
      </w:r>
      <w:r w:rsidRPr="00303224">
        <w:rPr>
          <w:rFonts w:ascii="Palatino Linotype" w:hAnsi="Palatino Linotype" w:cs="Times New Roman"/>
          <w:i/>
          <w:lang w:val="en-US"/>
        </w:rPr>
        <w:t>vis-à-vis</w:t>
      </w:r>
      <w:r w:rsidRPr="00C41EE7">
        <w:rPr>
          <w:rFonts w:ascii="Palatino Linotype" w:hAnsi="Palatino Linotype" w:cs="Times New Roman"/>
          <w:lang w:val="en-US"/>
        </w:rPr>
        <w:t xml:space="preserve"> the earlier entry are discussed hereunder: </w:t>
      </w:r>
    </w:p>
    <w:p w:rsidR="00381173" w:rsidRPr="00C41EE7" w:rsidRDefault="00381173" w:rsidP="00381173">
      <w:pPr>
        <w:tabs>
          <w:tab w:val="left" w:pos="1115"/>
        </w:tabs>
        <w:spacing w:line="276" w:lineRule="auto"/>
        <w:jc w:val="both"/>
        <w:rPr>
          <w:rFonts w:ascii="Palatino Linotype" w:hAnsi="Palatino Linotype" w:cs="Times New Roman"/>
        </w:rPr>
      </w:pPr>
    </w:p>
    <w:tbl>
      <w:tblPr>
        <w:tblStyle w:val="TableGrid"/>
        <w:tblW w:w="8930" w:type="dxa"/>
        <w:tblInd w:w="0" w:type="dxa"/>
        <w:tblLook w:val="04A0" w:firstRow="1" w:lastRow="0" w:firstColumn="1" w:lastColumn="0" w:noHBand="0" w:noVBand="1"/>
      </w:tblPr>
      <w:tblGrid>
        <w:gridCol w:w="977"/>
        <w:gridCol w:w="717"/>
        <w:gridCol w:w="6275"/>
        <w:gridCol w:w="961"/>
      </w:tblGrid>
      <w:tr w:rsidR="00381173" w:rsidRPr="00C41EE7" w:rsidTr="00B459C9">
        <w:tc>
          <w:tcPr>
            <w:tcW w:w="977"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center"/>
              <w:rPr>
                <w:rFonts w:ascii="Palatino Linotype" w:eastAsia="Times New Roman" w:hAnsi="Palatino Linotype" w:cs="Times New Roman"/>
                <w:b/>
                <w:bCs/>
                <w:color w:val="000000"/>
                <w:sz w:val="22"/>
                <w:szCs w:val="22"/>
                <w:lang w:eastAsia="en-GB"/>
              </w:rPr>
            </w:pPr>
            <w:r w:rsidRPr="00C41EE7">
              <w:rPr>
                <w:rFonts w:ascii="Palatino Linotype" w:eastAsia="Times New Roman" w:hAnsi="Palatino Linotype" w:cs="Times New Roman"/>
                <w:b/>
                <w:bCs/>
                <w:color w:val="000000"/>
                <w:sz w:val="22"/>
                <w:szCs w:val="22"/>
                <w:lang w:eastAsia="en-GB"/>
              </w:rPr>
              <w:t>S. No.</w:t>
            </w:r>
          </w:p>
        </w:tc>
        <w:tc>
          <w:tcPr>
            <w:tcW w:w="717"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center"/>
              <w:rPr>
                <w:rFonts w:ascii="Palatino Linotype" w:eastAsia="Times New Roman" w:hAnsi="Palatino Linotype" w:cs="Times New Roman"/>
                <w:b/>
                <w:bCs/>
                <w:color w:val="000000"/>
                <w:sz w:val="22"/>
                <w:szCs w:val="22"/>
                <w:lang w:eastAsia="en-GB"/>
              </w:rPr>
            </w:pPr>
            <w:r w:rsidRPr="00C41EE7">
              <w:rPr>
                <w:rFonts w:ascii="Palatino Linotype" w:eastAsia="Times New Roman" w:hAnsi="Palatino Linotype" w:cs="Times New Roman"/>
                <w:b/>
                <w:bCs/>
                <w:color w:val="000000"/>
                <w:sz w:val="22"/>
                <w:szCs w:val="22"/>
                <w:lang w:eastAsia="en-GB"/>
              </w:rPr>
              <w:t>HSN</w:t>
            </w:r>
          </w:p>
        </w:tc>
        <w:tc>
          <w:tcPr>
            <w:tcW w:w="6275"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center"/>
              <w:rPr>
                <w:rFonts w:ascii="Palatino Linotype" w:eastAsia="Times New Roman" w:hAnsi="Palatino Linotype" w:cs="Times New Roman"/>
                <w:b/>
                <w:bCs/>
                <w:color w:val="000000"/>
                <w:sz w:val="22"/>
                <w:szCs w:val="22"/>
                <w:lang w:eastAsia="en-GB"/>
              </w:rPr>
            </w:pPr>
            <w:r w:rsidRPr="00C41EE7">
              <w:rPr>
                <w:rFonts w:ascii="Palatino Linotype" w:eastAsia="Times New Roman" w:hAnsi="Palatino Linotype" w:cs="Times New Roman"/>
                <w:b/>
                <w:bCs/>
                <w:color w:val="000000"/>
                <w:sz w:val="22"/>
                <w:szCs w:val="22"/>
                <w:lang w:eastAsia="en-GB"/>
              </w:rPr>
              <w:t>Particulars</w:t>
            </w:r>
          </w:p>
        </w:tc>
        <w:tc>
          <w:tcPr>
            <w:tcW w:w="961"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line="276" w:lineRule="auto"/>
              <w:jc w:val="center"/>
              <w:rPr>
                <w:rFonts w:ascii="Palatino Linotype" w:eastAsia="Times New Roman" w:hAnsi="Palatino Linotype" w:cs="Times New Roman"/>
                <w:b/>
                <w:bCs/>
                <w:color w:val="000000"/>
                <w:sz w:val="22"/>
                <w:szCs w:val="22"/>
                <w:lang w:eastAsia="en-GB"/>
              </w:rPr>
            </w:pPr>
            <w:r w:rsidRPr="00C41EE7">
              <w:rPr>
                <w:rFonts w:ascii="Palatino Linotype" w:eastAsia="Times New Roman" w:hAnsi="Palatino Linotype" w:cs="Times New Roman"/>
                <w:b/>
                <w:bCs/>
                <w:color w:val="000000"/>
                <w:sz w:val="22"/>
                <w:szCs w:val="22"/>
                <w:lang w:eastAsia="en-GB"/>
              </w:rPr>
              <w:t>Rate</w:t>
            </w:r>
          </w:p>
        </w:tc>
      </w:tr>
      <w:tr w:rsidR="00381173" w:rsidRPr="00C41EE7" w:rsidTr="00B459C9">
        <w:tc>
          <w:tcPr>
            <w:tcW w:w="977" w:type="dxa"/>
            <w:vMerge w:val="restart"/>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526A</w:t>
            </w:r>
          </w:p>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w:t>
            </w:r>
          </w:p>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w:t>
            </w:r>
          </w:p>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w:t>
            </w:r>
          </w:p>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w:t>
            </w:r>
          </w:p>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w:t>
            </w:r>
          </w:p>
        </w:tc>
        <w:tc>
          <w:tcPr>
            <w:tcW w:w="717" w:type="dxa"/>
            <w:vMerge w:val="restart"/>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center"/>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8703</w:t>
            </w:r>
          </w:p>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w:t>
            </w:r>
          </w:p>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w:t>
            </w:r>
          </w:p>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w:t>
            </w:r>
          </w:p>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w:t>
            </w:r>
          </w:p>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w:t>
            </w:r>
          </w:p>
        </w:tc>
        <w:tc>
          <w:tcPr>
            <w:tcW w:w="6275"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both"/>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xml:space="preserve">Electrically operated </w:t>
            </w:r>
            <w:r w:rsidRPr="00C41EE7">
              <w:rPr>
                <w:rFonts w:ascii="Palatino Linotype" w:eastAsia="Times New Roman" w:hAnsi="Palatino Linotype" w:cs="Times New Roman"/>
                <w:color w:val="00B050"/>
                <w:sz w:val="22"/>
                <w:szCs w:val="22"/>
                <w:lang w:eastAsia="en-GB"/>
              </w:rPr>
              <w:t xml:space="preserve">vehicles </w:t>
            </w:r>
            <w:r w:rsidRPr="00C41EE7">
              <w:rPr>
                <w:rFonts w:ascii="Palatino Linotype" w:eastAsia="Times New Roman" w:hAnsi="Palatino Linotype" w:cs="Times New Roman"/>
                <w:strike/>
                <w:color w:val="C00000"/>
                <w:sz w:val="22"/>
                <w:szCs w:val="22"/>
                <w:lang w:eastAsia="en-GB"/>
              </w:rPr>
              <w:t>Motor cars and other motor vehicles</w:t>
            </w:r>
            <w:r w:rsidRPr="00C41EE7">
              <w:rPr>
                <w:rFonts w:ascii="Palatino Linotype" w:eastAsia="Times New Roman" w:hAnsi="Palatino Linotype" w:cs="Times New Roman"/>
                <w:color w:val="000000"/>
                <w:sz w:val="22"/>
                <w:szCs w:val="22"/>
                <w:lang w:eastAsia="en-GB"/>
              </w:rPr>
              <w:t xml:space="preserve">, </w:t>
            </w:r>
            <w:r w:rsidRPr="00C41EE7">
              <w:rPr>
                <w:rFonts w:ascii="Palatino Linotype" w:eastAsia="Times New Roman" w:hAnsi="Palatino Linotype" w:cs="Times New Roman"/>
                <w:strike/>
                <w:color w:val="C00000"/>
                <w:sz w:val="22"/>
                <w:szCs w:val="22"/>
                <w:lang w:eastAsia="en-GB"/>
              </w:rPr>
              <w:t>principally designed for the transport of persons (other than those of heading 8702), including station wagons and racing cars</w:t>
            </w:r>
            <w:r w:rsidRPr="00C41EE7">
              <w:rPr>
                <w:rFonts w:ascii="Palatino Linotype" w:eastAsia="Times New Roman" w:hAnsi="Palatino Linotype" w:cs="Times New Roman"/>
                <w:strike/>
                <w:color w:val="000000"/>
                <w:sz w:val="22"/>
                <w:szCs w:val="22"/>
                <w:lang w:eastAsia="en-GB"/>
              </w:rPr>
              <w:t>,</w:t>
            </w:r>
            <w:r w:rsidRPr="00C41EE7">
              <w:rPr>
                <w:rFonts w:ascii="Palatino Linotype" w:eastAsia="Times New Roman" w:hAnsi="Palatino Linotype" w:cs="Times New Roman"/>
                <w:color w:val="000000"/>
                <w:sz w:val="22"/>
                <w:szCs w:val="22"/>
                <w:lang w:eastAsia="en-GB"/>
              </w:rPr>
              <w:t xml:space="preserve"> if imported, -</w:t>
            </w:r>
          </w:p>
          <w:p w:rsidR="00381173" w:rsidRPr="00C41EE7" w:rsidRDefault="00381173" w:rsidP="00B459C9">
            <w:pPr>
              <w:spacing w:before="100" w:beforeAutospacing="1" w:after="100" w:afterAutospacing="1" w:line="276" w:lineRule="auto"/>
              <w:jc w:val="both"/>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(1)</w:t>
            </w:r>
            <w:r w:rsidRPr="00C41EE7">
              <w:rPr>
                <w:rFonts w:ascii="Palatino Linotype" w:eastAsia="Times New Roman" w:hAnsi="Palatino Linotype" w:cs="Times New Roman"/>
                <w:color w:val="000000"/>
                <w:sz w:val="22"/>
                <w:szCs w:val="22"/>
                <w:shd w:val="clear" w:color="auto" w:fill="FFFFFF"/>
                <w:lang w:eastAsia="en-GB"/>
              </w:rPr>
              <w:t xml:space="preserve"> </w:t>
            </w:r>
            <w:r w:rsidRPr="00C41EE7">
              <w:rPr>
                <w:rFonts w:ascii="Palatino Linotype" w:eastAsia="Times New Roman" w:hAnsi="Palatino Linotype" w:cs="Times New Roman"/>
                <w:color w:val="00B050"/>
                <w:sz w:val="22"/>
                <w:szCs w:val="22"/>
                <w:shd w:val="clear" w:color="auto" w:fill="FFFFFF"/>
                <w:lang w:eastAsia="en-GB"/>
              </w:rPr>
              <w:t>incomplete or unfinished</w:t>
            </w:r>
            <w:r w:rsidRPr="00C41EE7">
              <w:rPr>
                <w:rFonts w:ascii="Palatino Linotype" w:eastAsia="Times New Roman" w:hAnsi="Palatino Linotype" w:cs="Times New Roman"/>
                <w:color w:val="000000"/>
                <w:sz w:val="22"/>
                <w:szCs w:val="22"/>
                <w:shd w:val="clear" w:color="auto" w:fill="FFFFFF"/>
                <w:lang w:eastAsia="en-GB"/>
              </w:rPr>
              <w:t>, a</w:t>
            </w:r>
            <w:r w:rsidRPr="00C41EE7">
              <w:rPr>
                <w:rFonts w:ascii="Palatino Linotype" w:eastAsia="Times New Roman" w:hAnsi="Palatino Linotype" w:cs="Times New Roman"/>
                <w:color w:val="000000"/>
                <w:sz w:val="22"/>
                <w:szCs w:val="22"/>
                <w:lang w:eastAsia="en-GB"/>
              </w:rPr>
              <w:t xml:space="preserve">s a Knocked Down kit containing all the necessary components, parts or sub-assemblies, for assembling a complete vehicle, </w:t>
            </w:r>
            <w:r w:rsidRPr="00C41EE7">
              <w:rPr>
                <w:rFonts w:ascii="Palatino Linotype" w:eastAsia="Times New Roman" w:hAnsi="Palatino Linotype" w:cs="Times New Roman"/>
                <w:color w:val="00B050"/>
                <w:sz w:val="22"/>
                <w:szCs w:val="22"/>
                <w:shd w:val="clear" w:color="auto" w:fill="FFFFFF"/>
                <w:lang w:eastAsia="en-GB"/>
              </w:rPr>
              <w:t xml:space="preserve">including </w:t>
            </w:r>
            <w:bookmarkStart w:id="0" w:name="_Hlk95814593"/>
            <w:bookmarkStart w:id="1" w:name="_Hlk95838522"/>
            <w:r w:rsidRPr="00C41EE7">
              <w:rPr>
                <w:rFonts w:ascii="Palatino Linotype" w:eastAsia="Times New Roman" w:hAnsi="Palatino Linotype" w:cs="Times New Roman"/>
                <w:color w:val="00B050"/>
                <w:sz w:val="22"/>
                <w:szCs w:val="22"/>
                <w:shd w:val="clear" w:color="auto" w:fill="FFFFFF"/>
                <w:lang w:eastAsia="en-GB"/>
              </w:rPr>
              <w:t>battery pack, motor, motor controller, charger, power control unit, energy monitor, contactor, brake system, electric compressor</w:t>
            </w:r>
            <w:bookmarkEnd w:id="0"/>
            <w:r w:rsidRPr="00C41EE7">
              <w:rPr>
                <w:rFonts w:ascii="Palatino Linotype" w:eastAsia="Times New Roman" w:hAnsi="Palatino Linotype" w:cs="Times New Roman"/>
                <w:color w:val="00B050"/>
                <w:sz w:val="22"/>
                <w:szCs w:val="22"/>
                <w:shd w:val="clear" w:color="auto" w:fill="FFFFFF"/>
                <w:lang w:eastAsia="en-GB"/>
              </w:rPr>
              <w:t xml:space="preserve">, </w:t>
            </w:r>
            <w:proofErr w:type="gramStart"/>
            <w:r w:rsidRPr="00C41EE7">
              <w:rPr>
                <w:rFonts w:ascii="Palatino Linotype" w:eastAsia="Times New Roman" w:hAnsi="Palatino Linotype" w:cs="Times New Roman"/>
                <w:color w:val="00B050"/>
                <w:sz w:val="22"/>
                <w:szCs w:val="22"/>
                <w:shd w:val="clear" w:color="auto" w:fill="FFFFFF"/>
                <w:lang w:eastAsia="en-GB"/>
              </w:rPr>
              <w:t>whether or not</w:t>
            </w:r>
            <w:proofErr w:type="gramEnd"/>
            <w:r w:rsidRPr="00C41EE7">
              <w:rPr>
                <w:rFonts w:ascii="Palatino Linotype" w:eastAsia="Times New Roman" w:hAnsi="Palatino Linotype" w:cs="Times New Roman"/>
                <w:color w:val="00B050"/>
                <w:sz w:val="22"/>
                <w:szCs w:val="22"/>
                <w:shd w:val="clear" w:color="auto" w:fill="FFFFFF"/>
                <w:lang w:eastAsia="en-GB"/>
              </w:rPr>
              <w:t xml:space="preserve"> i</w:t>
            </w:r>
            <w:r w:rsidRPr="00C41EE7">
              <w:rPr>
                <w:rFonts w:ascii="Palatino Linotype" w:eastAsia="Times New Roman" w:hAnsi="Palatino Linotype" w:cs="Times New Roman"/>
                <w:color w:val="00B050"/>
                <w:sz w:val="22"/>
                <w:szCs w:val="22"/>
                <w:u w:val="single"/>
                <w:shd w:val="clear" w:color="auto" w:fill="FFFFFF"/>
                <w:lang w:eastAsia="en-GB"/>
              </w:rPr>
              <w:t>ndividually</w:t>
            </w:r>
            <w:r w:rsidRPr="00C41EE7">
              <w:rPr>
                <w:rFonts w:ascii="Palatino Linotype" w:eastAsia="Times New Roman" w:hAnsi="Palatino Linotype" w:cs="Times New Roman"/>
                <w:color w:val="00B050"/>
                <w:sz w:val="22"/>
                <w:szCs w:val="22"/>
                <w:shd w:val="clear" w:color="auto" w:fill="FFFFFF"/>
                <w:lang w:eastAsia="en-GB"/>
              </w:rPr>
              <w:t xml:space="preserve"> pre-assembled</w:t>
            </w:r>
            <w:bookmarkEnd w:id="1"/>
            <w:r w:rsidRPr="00C41EE7">
              <w:rPr>
                <w:rFonts w:ascii="Palatino Linotype" w:eastAsia="Times New Roman" w:hAnsi="Palatino Linotype" w:cs="Times New Roman"/>
                <w:color w:val="00B050"/>
                <w:sz w:val="22"/>
                <w:szCs w:val="22"/>
                <w:shd w:val="clear" w:color="auto" w:fill="FFFFFF"/>
                <w:lang w:eastAsia="en-GB"/>
              </w:rPr>
              <w:t>,</w:t>
            </w:r>
            <w:r w:rsidRPr="00C41EE7">
              <w:rPr>
                <w:rFonts w:ascii="Palatino Linotype" w:eastAsia="Times New Roman" w:hAnsi="Palatino Linotype" w:cs="Times New Roman"/>
                <w:color w:val="000000"/>
                <w:sz w:val="22"/>
                <w:szCs w:val="22"/>
                <w:shd w:val="clear" w:color="auto" w:fill="FFFFFF"/>
                <w:lang w:eastAsia="en-GB"/>
              </w:rPr>
              <w:t xml:space="preserve"> </w:t>
            </w:r>
            <w:r w:rsidRPr="00C41EE7">
              <w:rPr>
                <w:rFonts w:ascii="Palatino Linotype" w:eastAsia="Times New Roman" w:hAnsi="Palatino Linotype" w:cs="Times New Roman"/>
                <w:color w:val="000000"/>
                <w:sz w:val="22"/>
                <w:szCs w:val="22"/>
                <w:lang w:eastAsia="en-GB"/>
              </w:rPr>
              <w:t>with, -</w:t>
            </w:r>
          </w:p>
        </w:tc>
        <w:tc>
          <w:tcPr>
            <w:tcW w:w="961"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p>
        </w:tc>
      </w:tr>
      <w:tr w:rsidR="00381173" w:rsidRPr="00C41EE7" w:rsidTr="00B459C9">
        <w:tc>
          <w:tcPr>
            <w:tcW w:w="0" w:type="auto"/>
            <w:vMerge/>
            <w:tcBorders>
              <w:top w:val="single" w:sz="4" w:space="0" w:color="auto"/>
              <w:left w:val="single" w:sz="4" w:space="0" w:color="auto"/>
              <w:bottom w:val="single" w:sz="4" w:space="0" w:color="auto"/>
              <w:right w:val="single" w:sz="4" w:space="0" w:color="auto"/>
            </w:tcBorders>
            <w:vAlign w:val="center"/>
            <w:hideMark/>
          </w:tcPr>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p>
        </w:tc>
        <w:tc>
          <w:tcPr>
            <w:tcW w:w="6275"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both"/>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xml:space="preserve">(a) </w:t>
            </w:r>
            <w:r w:rsidRPr="00C41EE7">
              <w:rPr>
                <w:rFonts w:ascii="Palatino Linotype" w:eastAsia="Times New Roman" w:hAnsi="Palatino Linotype" w:cs="Times New Roman"/>
                <w:strike/>
                <w:color w:val="C00000"/>
                <w:sz w:val="22"/>
                <w:szCs w:val="22"/>
                <w:lang w:eastAsia="en-GB"/>
              </w:rPr>
              <w:t>disassembled Battery Pack, Motor, Motor Controller, Charger, Power Control Unit, Energy Monitor Contractor, Brake system, Electric Compressor</w:t>
            </w:r>
            <w:r w:rsidRPr="00C41EE7">
              <w:rPr>
                <w:rFonts w:ascii="Palatino Linotype" w:eastAsia="Times New Roman" w:hAnsi="Palatino Linotype" w:cs="Times New Roman"/>
                <w:color w:val="C00000"/>
                <w:sz w:val="22"/>
                <w:szCs w:val="22"/>
                <w:lang w:eastAsia="en-GB"/>
              </w:rPr>
              <w:t xml:space="preserve"> </w:t>
            </w:r>
            <w:r w:rsidRPr="00C41EE7">
              <w:rPr>
                <w:rFonts w:ascii="Palatino Linotype" w:eastAsia="Times New Roman" w:hAnsi="Palatino Linotype" w:cs="Times New Roman"/>
                <w:color w:val="00B050"/>
                <w:sz w:val="22"/>
                <w:szCs w:val="22"/>
                <w:shd w:val="clear" w:color="auto" w:fill="FFFFFF"/>
                <w:lang w:eastAsia="en-GB"/>
              </w:rPr>
              <w:t xml:space="preserve">none of the above components, parts or sub-assemblies inter-connected with each other and </w:t>
            </w:r>
            <w:r w:rsidRPr="00C41EE7">
              <w:rPr>
                <w:rFonts w:ascii="Palatino Linotype" w:eastAsia="Times New Roman" w:hAnsi="Palatino Linotype" w:cs="Times New Roman"/>
                <w:color w:val="000000"/>
                <w:sz w:val="22"/>
                <w:szCs w:val="22"/>
                <w:lang w:eastAsia="en-GB"/>
              </w:rPr>
              <w:t>not mounted on chassis;</w:t>
            </w:r>
          </w:p>
        </w:tc>
        <w:tc>
          <w:tcPr>
            <w:tcW w:w="961"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center"/>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15%</w:t>
            </w:r>
          </w:p>
        </w:tc>
      </w:tr>
      <w:tr w:rsidR="00381173" w:rsidRPr="00C41EE7" w:rsidTr="00B459C9">
        <w:tc>
          <w:tcPr>
            <w:tcW w:w="0" w:type="auto"/>
            <w:vMerge/>
            <w:tcBorders>
              <w:top w:val="single" w:sz="4" w:space="0" w:color="auto"/>
              <w:left w:val="single" w:sz="4" w:space="0" w:color="auto"/>
              <w:bottom w:val="single" w:sz="4" w:space="0" w:color="auto"/>
              <w:right w:val="single" w:sz="4" w:space="0" w:color="auto"/>
            </w:tcBorders>
            <w:vAlign w:val="center"/>
            <w:hideMark/>
          </w:tcPr>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p>
        </w:tc>
        <w:tc>
          <w:tcPr>
            <w:tcW w:w="6275"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both"/>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xml:space="preserve">(b) </w:t>
            </w:r>
            <w:r w:rsidRPr="00C41EE7">
              <w:rPr>
                <w:rFonts w:ascii="Palatino Linotype" w:eastAsia="Times New Roman" w:hAnsi="Palatino Linotype" w:cs="Times New Roman"/>
                <w:strike/>
                <w:color w:val="C00000"/>
                <w:sz w:val="22"/>
                <w:szCs w:val="22"/>
                <w:lang w:eastAsia="en-GB"/>
              </w:rPr>
              <w:t>pre-assembled Battery Pack, Motor, Motor Controller, Charger, Power Control Unit, Energy Monitor Contractor, Brake System, Electric compressor</w:t>
            </w:r>
            <w:r w:rsidRPr="00C41EE7">
              <w:rPr>
                <w:rFonts w:ascii="Palatino Linotype" w:eastAsia="Times New Roman" w:hAnsi="Palatino Linotype" w:cs="Times New Roman"/>
                <w:color w:val="C00000"/>
                <w:sz w:val="22"/>
                <w:szCs w:val="22"/>
                <w:lang w:eastAsia="en-GB"/>
              </w:rPr>
              <w:t xml:space="preserve"> </w:t>
            </w:r>
            <w:r w:rsidRPr="00C41EE7">
              <w:rPr>
                <w:rFonts w:ascii="Palatino Linotype" w:eastAsia="Times New Roman" w:hAnsi="Palatino Linotype" w:cs="Times New Roman"/>
                <w:color w:val="00B050"/>
                <w:sz w:val="22"/>
                <w:szCs w:val="22"/>
                <w:shd w:val="clear" w:color="auto" w:fill="FFFFFF"/>
                <w:lang w:eastAsia="en-GB"/>
              </w:rPr>
              <w:t xml:space="preserve">any of the above components, parts or sub-assemblies inter-connected with each other but </w:t>
            </w:r>
            <w:r w:rsidRPr="00C41EE7">
              <w:rPr>
                <w:rFonts w:ascii="Palatino Linotype" w:eastAsia="Times New Roman" w:hAnsi="Palatino Linotype" w:cs="Times New Roman"/>
                <w:color w:val="000000"/>
                <w:sz w:val="22"/>
                <w:szCs w:val="22"/>
                <w:lang w:eastAsia="en-GB"/>
              </w:rPr>
              <w:t xml:space="preserve">not mounted on a chassis </w:t>
            </w:r>
            <w:r w:rsidRPr="00C41EE7">
              <w:rPr>
                <w:rFonts w:ascii="Palatino Linotype" w:eastAsia="Times New Roman" w:hAnsi="Palatino Linotype" w:cs="Times New Roman"/>
                <w:strike/>
                <w:color w:val="C00000"/>
                <w:sz w:val="22"/>
                <w:szCs w:val="22"/>
                <w:lang w:eastAsia="en-GB"/>
              </w:rPr>
              <w:t>or a body assembly.</w:t>
            </w:r>
          </w:p>
        </w:tc>
        <w:tc>
          <w:tcPr>
            <w:tcW w:w="961"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center"/>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30%</w:t>
            </w:r>
          </w:p>
        </w:tc>
      </w:tr>
      <w:tr w:rsidR="00381173" w:rsidRPr="00C41EE7" w:rsidTr="00B459C9">
        <w:tc>
          <w:tcPr>
            <w:tcW w:w="0" w:type="auto"/>
            <w:vMerge/>
            <w:tcBorders>
              <w:top w:val="single" w:sz="4" w:space="0" w:color="auto"/>
              <w:left w:val="single" w:sz="4" w:space="0" w:color="auto"/>
              <w:bottom w:val="single" w:sz="4" w:space="0" w:color="auto"/>
              <w:right w:val="single" w:sz="4" w:space="0" w:color="auto"/>
            </w:tcBorders>
            <w:vAlign w:val="center"/>
            <w:hideMark/>
          </w:tcPr>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p>
        </w:tc>
        <w:tc>
          <w:tcPr>
            <w:tcW w:w="6275"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both"/>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 xml:space="preserve">(2) In </w:t>
            </w:r>
            <w:r w:rsidRPr="00C41EE7">
              <w:rPr>
                <w:rFonts w:ascii="Palatino Linotype" w:eastAsia="Times New Roman" w:hAnsi="Palatino Linotype" w:cs="Times New Roman"/>
                <w:strike/>
                <w:color w:val="C00000"/>
                <w:sz w:val="22"/>
                <w:szCs w:val="22"/>
                <w:lang w:eastAsia="en-GB"/>
              </w:rPr>
              <w:t>any other</w:t>
            </w:r>
            <w:r w:rsidRPr="00C41EE7">
              <w:rPr>
                <w:rFonts w:ascii="Palatino Linotype" w:eastAsia="Times New Roman" w:hAnsi="Palatino Linotype" w:cs="Times New Roman"/>
                <w:color w:val="C00000"/>
                <w:sz w:val="22"/>
                <w:szCs w:val="22"/>
                <w:lang w:eastAsia="en-GB"/>
              </w:rPr>
              <w:t xml:space="preserve"> </w:t>
            </w:r>
            <w:r w:rsidRPr="00C41EE7">
              <w:rPr>
                <w:rFonts w:ascii="Palatino Linotype" w:eastAsia="Times New Roman" w:hAnsi="Palatino Linotype" w:cs="Times New Roman"/>
                <w:color w:val="00B050"/>
                <w:sz w:val="22"/>
                <w:szCs w:val="22"/>
                <w:lang w:eastAsia="en-GB"/>
              </w:rPr>
              <w:t>a form</w:t>
            </w:r>
            <w:r w:rsidRPr="00C41EE7">
              <w:rPr>
                <w:rFonts w:ascii="Palatino Linotype" w:eastAsia="Times New Roman" w:hAnsi="Palatino Linotype" w:cs="Times New Roman"/>
                <w:color w:val="00B050"/>
                <w:sz w:val="22"/>
                <w:szCs w:val="22"/>
                <w:shd w:val="clear" w:color="auto" w:fill="FFFFFF"/>
                <w:lang w:eastAsia="en-GB"/>
              </w:rPr>
              <w:t xml:space="preserve"> other than (1) above</w:t>
            </w:r>
            <w:r w:rsidRPr="00C41EE7">
              <w:rPr>
                <w:rFonts w:ascii="Palatino Linotype" w:eastAsia="Times New Roman" w:hAnsi="Palatino Linotype" w:cs="Times New Roman"/>
                <w:color w:val="000000"/>
                <w:sz w:val="22"/>
                <w:szCs w:val="22"/>
                <w:lang w:eastAsia="en-GB"/>
              </w:rPr>
              <w:t>, -</w:t>
            </w:r>
          </w:p>
        </w:tc>
        <w:tc>
          <w:tcPr>
            <w:tcW w:w="961"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p>
        </w:tc>
      </w:tr>
      <w:tr w:rsidR="00381173" w:rsidRPr="00C41EE7" w:rsidTr="00B459C9">
        <w:tc>
          <w:tcPr>
            <w:tcW w:w="0" w:type="auto"/>
            <w:vMerge/>
            <w:tcBorders>
              <w:top w:val="single" w:sz="4" w:space="0" w:color="auto"/>
              <w:left w:val="single" w:sz="4" w:space="0" w:color="auto"/>
              <w:bottom w:val="single" w:sz="4" w:space="0" w:color="auto"/>
              <w:right w:val="single" w:sz="4" w:space="0" w:color="auto"/>
            </w:tcBorders>
            <w:vAlign w:val="center"/>
            <w:hideMark/>
          </w:tcPr>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p>
        </w:tc>
        <w:tc>
          <w:tcPr>
            <w:tcW w:w="6275"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both"/>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(a) with CIF value more than US$ 40,000</w:t>
            </w:r>
          </w:p>
        </w:tc>
        <w:tc>
          <w:tcPr>
            <w:tcW w:w="961"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center"/>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100%</w:t>
            </w:r>
          </w:p>
        </w:tc>
      </w:tr>
      <w:tr w:rsidR="00381173" w:rsidRPr="00C41EE7" w:rsidTr="00B459C9">
        <w:tc>
          <w:tcPr>
            <w:tcW w:w="0" w:type="auto"/>
            <w:vMerge/>
            <w:tcBorders>
              <w:top w:val="single" w:sz="4" w:space="0" w:color="auto"/>
              <w:left w:val="single" w:sz="4" w:space="0" w:color="auto"/>
              <w:bottom w:val="single" w:sz="4" w:space="0" w:color="auto"/>
              <w:right w:val="single" w:sz="4" w:space="0" w:color="auto"/>
            </w:tcBorders>
            <w:vAlign w:val="center"/>
            <w:hideMark/>
          </w:tcPr>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1173" w:rsidRPr="00C41EE7" w:rsidRDefault="00381173" w:rsidP="00B459C9">
            <w:pPr>
              <w:spacing w:line="276" w:lineRule="auto"/>
              <w:rPr>
                <w:rFonts w:ascii="Palatino Linotype" w:eastAsia="Times New Roman" w:hAnsi="Palatino Linotype" w:cs="Times New Roman"/>
                <w:color w:val="000000"/>
                <w:sz w:val="22"/>
                <w:szCs w:val="22"/>
                <w:lang w:eastAsia="en-GB"/>
              </w:rPr>
            </w:pPr>
          </w:p>
        </w:tc>
        <w:tc>
          <w:tcPr>
            <w:tcW w:w="6275"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both"/>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(b) other than (a) above</w:t>
            </w:r>
          </w:p>
          <w:p w:rsidR="00381173" w:rsidRPr="00C41EE7" w:rsidRDefault="00381173" w:rsidP="00B459C9">
            <w:pPr>
              <w:spacing w:before="100" w:beforeAutospacing="1" w:after="100" w:afterAutospacing="1" w:line="276" w:lineRule="auto"/>
              <w:jc w:val="both"/>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b/>
                <w:bCs/>
                <w:i/>
                <w:iCs/>
                <w:color w:val="00B050"/>
                <w:sz w:val="22"/>
                <w:szCs w:val="22"/>
                <w:shd w:val="clear" w:color="auto" w:fill="FFFFFF"/>
                <w:lang w:eastAsia="en-GB"/>
              </w:rPr>
              <w:t>Explanation</w:t>
            </w:r>
            <w:r w:rsidRPr="00C41EE7">
              <w:rPr>
                <w:rFonts w:ascii="Palatino Linotype" w:eastAsia="Times New Roman" w:hAnsi="Palatino Linotype" w:cs="Times New Roman"/>
                <w:color w:val="00B050"/>
                <w:sz w:val="22"/>
                <w:szCs w:val="22"/>
                <w:shd w:val="clear" w:color="auto" w:fill="FFFFFF"/>
                <w:lang w:eastAsia="en-GB"/>
              </w:rPr>
              <w:t>. – For the removal of doubts, the exemption contained in items (1)(a) and (1)(b) of this entry shall be available, even if one or more of the components, parts or sub-assemblies required for assembling a complete vehicle are not imported in the kit, provided that the kit as presented, is classifiable under the heading 8703 of the Customs Tariff Act, 1975 as per the general rules of interpretation.</w:t>
            </w:r>
          </w:p>
        </w:tc>
        <w:tc>
          <w:tcPr>
            <w:tcW w:w="961" w:type="dxa"/>
            <w:tcBorders>
              <w:top w:val="single" w:sz="4" w:space="0" w:color="auto"/>
              <w:left w:val="single" w:sz="4" w:space="0" w:color="auto"/>
              <w:bottom w:val="single" w:sz="4" w:space="0" w:color="auto"/>
              <w:right w:val="single" w:sz="4" w:space="0" w:color="auto"/>
            </w:tcBorders>
            <w:hideMark/>
          </w:tcPr>
          <w:p w:rsidR="00381173" w:rsidRPr="00C41EE7" w:rsidRDefault="00381173" w:rsidP="00B459C9">
            <w:pPr>
              <w:spacing w:before="100" w:beforeAutospacing="1" w:after="100" w:afterAutospacing="1" w:line="276" w:lineRule="auto"/>
              <w:jc w:val="center"/>
              <w:rPr>
                <w:rFonts w:ascii="Palatino Linotype" w:eastAsia="Times New Roman" w:hAnsi="Palatino Linotype" w:cs="Times New Roman"/>
                <w:color w:val="000000"/>
                <w:sz w:val="22"/>
                <w:szCs w:val="22"/>
                <w:lang w:eastAsia="en-GB"/>
              </w:rPr>
            </w:pPr>
            <w:r w:rsidRPr="00C41EE7">
              <w:rPr>
                <w:rFonts w:ascii="Palatino Linotype" w:eastAsia="Times New Roman" w:hAnsi="Palatino Linotype" w:cs="Times New Roman"/>
                <w:color w:val="000000"/>
                <w:sz w:val="22"/>
                <w:szCs w:val="22"/>
                <w:lang w:eastAsia="en-GB"/>
              </w:rPr>
              <w:t>60%</w:t>
            </w:r>
          </w:p>
        </w:tc>
      </w:tr>
    </w:tbl>
    <w:p w:rsidR="00381173" w:rsidRPr="00C41EE7" w:rsidRDefault="00381173" w:rsidP="00381173">
      <w:pPr>
        <w:spacing w:line="276" w:lineRule="auto"/>
        <w:jc w:val="both"/>
        <w:rPr>
          <w:rFonts w:ascii="Palatino Linotype" w:hAnsi="Palatino Linotype" w:cs="Times New Roman"/>
          <w:lang w:val="en-US" w:eastAsia="en-US"/>
        </w:rPr>
      </w:pPr>
    </w:p>
    <w:p w:rsidR="00381173" w:rsidRPr="00C41EE7" w:rsidRDefault="00381173" w:rsidP="00381173">
      <w:pPr>
        <w:tabs>
          <w:tab w:val="left" w:pos="1115"/>
        </w:tabs>
        <w:spacing w:after="240" w:line="276" w:lineRule="auto"/>
        <w:jc w:val="both"/>
        <w:rPr>
          <w:rFonts w:ascii="Palatino Linotype" w:hAnsi="Palatino Linotype" w:cs="Times New Roman"/>
          <w:lang w:val="en-US"/>
        </w:rPr>
      </w:pPr>
      <w:r w:rsidRPr="00C41EE7">
        <w:rPr>
          <w:rFonts w:ascii="Palatino Linotype" w:hAnsi="Palatino Linotype" w:cs="Times New Roman"/>
          <w:b/>
          <w:bCs/>
          <w:i/>
          <w:iCs/>
          <w:lang w:val="en-US"/>
        </w:rPr>
        <w:t xml:space="preserve">‘Incomplete or unfinished’: </w:t>
      </w:r>
    </w:p>
    <w:p w:rsidR="00381173" w:rsidRDefault="00381173" w:rsidP="00381173">
      <w:pPr>
        <w:spacing w:after="240" w:line="276" w:lineRule="auto"/>
        <w:ind w:firstLine="720"/>
        <w:jc w:val="both"/>
        <w:rPr>
          <w:rFonts w:ascii="Palatino Linotype" w:hAnsi="Palatino Linotype" w:cs="Times New Roman"/>
          <w:lang w:val="en-US"/>
        </w:rPr>
      </w:pPr>
      <w:r w:rsidRPr="00C41EE7">
        <w:rPr>
          <w:rFonts w:ascii="Palatino Linotype" w:hAnsi="Palatino Linotype" w:cs="Times New Roman"/>
          <w:lang w:val="en-US"/>
        </w:rPr>
        <w:lastRenderedPageBreak/>
        <w:t xml:space="preserve">The substituted entry uses the phrase </w:t>
      </w:r>
      <w:r w:rsidRPr="00C41EE7">
        <w:rPr>
          <w:rFonts w:ascii="Palatino Linotype" w:hAnsi="Palatino Linotype" w:cs="Times New Roman"/>
          <w:i/>
          <w:iCs/>
          <w:lang w:val="en-US"/>
        </w:rPr>
        <w:t xml:space="preserve">‘incomplete and unfinished’ </w:t>
      </w:r>
      <w:r w:rsidRPr="00C41EE7">
        <w:rPr>
          <w:rFonts w:ascii="Palatino Linotype" w:hAnsi="Palatino Linotype" w:cs="Times New Roman"/>
          <w:lang w:val="en-US"/>
        </w:rPr>
        <w:t xml:space="preserve">in clause (1) of the entry. Concerns have been raised as to whether this is an additional condition to be satisfied for import of goods at concessional rate of duty 15%/30%. </w:t>
      </w:r>
    </w:p>
    <w:p w:rsidR="00381173" w:rsidRDefault="00381173" w:rsidP="00381173">
      <w:pPr>
        <w:spacing w:after="240" w:line="276" w:lineRule="auto"/>
        <w:ind w:firstLine="720"/>
        <w:jc w:val="both"/>
        <w:rPr>
          <w:rFonts w:ascii="Palatino Linotype" w:hAnsi="Palatino Linotype" w:cs="Times New Roman"/>
          <w:lang w:val="en-US"/>
        </w:rPr>
      </w:pPr>
      <w:r w:rsidRPr="00C41EE7">
        <w:rPr>
          <w:rFonts w:ascii="Palatino Linotype" w:hAnsi="Palatino Linotype" w:cs="Times New Roman"/>
          <w:lang w:val="en-US"/>
        </w:rPr>
        <w:t xml:space="preserve">This phrase ‘incomplete or unfinished’ while read with the newly inserted explanation which prescribes that even if one or more of the components, parts or sub-assemblies required for assembling a complete vehicle are not imported in the kit, makes it clear that the benefit of concessional rate of duty would be available, provided the kit remains classifiable under CTH 87.03. </w:t>
      </w:r>
    </w:p>
    <w:p w:rsidR="00381173" w:rsidRPr="00AC7314" w:rsidRDefault="00381173" w:rsidP="00381173">
      <w:pPr>
        <w:spacing w:after="240" w:line="276" w:lineRule="auto"/>
        <w:ind w:firstLine="720"/>
        <w:jc w:val="both"/>
        <w:rPr>
          <w:rFonts w:ascii="Palatino Linotype" w:hAnsi="Palatino Linotype" w:cs="Times New Roman"/>
          <w:lang w:val="en-US"/>
        </w:rPr>
      </w:pPr>
      <w:r w:rsidRPr="00C41EE7">
        <w:rPr>
          <w:rFonts w:ascii="Palatino Linotype" w:hAnsi="Palatino Linotype" w:cs="Times New Roman"/>
          <w:lang w:val="en-US"/>
        </w:rPr>
        <w:t xml:space="preserve">The phrase </w:t>
      </w:r>
      <w:r w:rsidRPr="00C41EE7">
        <w:rPr>
          <w:rFonts w:ascii="Palatino Linotype" w:hAnsi="Palatino Linotype" w:cs="Times New Roman"/>
          <w:i/>
          <w:iCs/>
          <w:lang w:val="en-US"/>
        </w:rPr>
        <w:t>‘incomplete and unfinished’</w:t>
      </w:r>
      <w:r w:rsidRPr="00C41EE7">
        <w:rPr>
          <w:rFonts w:ascii="Palatino Linotype" w:hAnsi="Palatino Linotype" w:cs="Times New Roman"/>
          <w:lang w:val="en-US"/>
        </w:rPr>
        <w:t xml:space="preserve"> is also used in the HSN Explanatory Notes in context of classification of vehicles under Chapter 87 even if the same is not fitted with certain parts. However, it is not clear if the concessional rate of duty can be availed even if the components, parts or sub-assemblies as presented for import are complete and finished in all respect.</w:t>
      </w:r>
    </w:p>
    <w:p w:rsidR="00381173" w:rsidRPr="00C41EE7" w:rsidRDefault="00381173" w:rsidP="00381173">
      <w:pPr>
        <w:tabs>
          <w:tab w:val="left" w:pos="1115"/>
        </w:tabs>
        <w:spacing w:after="240" w:line="276" w:lineRule="auto"/>
        <w:jc w:val="both"/>
        <w:rPr>
          <w:rFonts w:ascii="Palatino Linotype" w:hAnsi="Palatino Linotype" w:cs="Times New Roman"/>
          <w:lang w:val="en-US"/>
        </w:rPr>
      </w:pPr>
      <w:r w:rsidRPr="00C41EE7">
        <w:rPr>
          <w:rFonts w:ascii="Palatino Linotype" w:hAnsi="Palatino Linotype" w:cs="Times New Roman"/>
          <w:b/>
          <w:bCs/>
          <w:i/>
          <w:iCs/>
          <w:lang w:val="en-US"/>
        </w:rPr>
        <w:t>‘Knocked down kit’:</w:t>
      </w:r>
    </w:p>
    <w:p w:rsidR="00381173" w:rsidRDefault="00381173" w:rsidP="00381173">
      <w:pPr>
        <w:spacing w:after="240" w:line="276" w:lineRule="auto"/>
        <w:ind w:firstLine="720"/>
        <w:jc w:val="both"/>
        <w:rPr>
          <w:rFonts w:ascii="Palatino Linotype" w:hAnsi="Palatino Linotype" w:cs="Times New Roman"/>
          <w:lang w:val="en-US"/>
        </w:rPr>
      </w:pPr>
      <w:r w:rsidRPr="00C41EE7">
        <w:rPr>
          <w:rFonts w:ascii="Palatino Linotype" w:hAnsi="Palatino Linotype" w:cs="Times New Roman"/>
          <w:lang w:val="en-US"/>
        </w:rPr>
        <w:t xml:space="preserve">Entry 526A as introduced in the year 2019 uses the phrase ‘knocked down kit’, while the Entry 526 for import of ICE vehicles uses the phrase ‘completely knocked down (CKD) kit’. The Notification however does not define either of the terms. </w:t>
      </w:r>
    </w:p>
    <w:p w:rsidR="00381173" w:rsidRDefault="00381173" w:rsidP="00381173">
      <w:pPr>
        <w:spacing w:after="240" w:line="276" w:lineRule="auto"/>
        <w:ind w:firstLine="720"/>
        <w:jc w:val="both"/>
        <w:rPr>
          <w:rFonts w:ascii="Palatino Linotype" w:hAnsi="Palatino Linotype" w:cs="Times New Roman"/>
          <w:lang w:val="en-US"/>
        </w:rPr>
      </w:pPr>
      <w:r w:rsidRPr="00C41EE7">
        <w:rPr>
          <w:rFonts w:ascii="Palatino Linotype" w:hAnsi="Palatino Linotype" w:cs="Times New Roman"/>
          <w:lang w:val="en-US"/>
        </w:rPr>
        <w:t>In order to understand scope of ‘CKD Kit’ reference can be made to the explanation at S. No. 344 of Notification No. 21/2002-Cus</w:t>
      </w:r>
      <w:r>
        <w:rPr>
          <w:rFonts w:ascii="Palatino Linotype" w:hAnsi="Palatino Linotype" w:cs="Times New Roman"/>
          <w:lang w:val="en-US"/>
        </w:rPr>
        <w:t>.,</w:t>
      </w:r>
      <w:r w:rsidRPr="00C41EE7">
        <w:rPr>
          <w:rFonts w:ascii="Palatino Linotype" w:hAnsi="Palatino Linotype" w:cs="Times New Roman"/>
          <w:lang w:val="en-US"/>
        </w:rPr>
        <w:t xml:space="preserve"> dated 1</w:t>
      </w:r>
      <w:r>
        <w:rPr>
          <w:rFonts w:ascii="Palatino Linotype" w:hAnsi="Palatino Linotype" w:cs="Times New Roman"/>
          <w:lang w:val="en-US"/>
        </w:rPr>
        <w:t xml:space="preserve"> March </w:t>
      </w:r>
      <w:r w:rsidRPr="00C41EE7">
        <w:rPr>
          <w:rFonts w:ascii="Palatino Linotype" w:hAnsi="Palatino Linotype" w:cs="Times New Roman"/>
          <w:lang w:val="en-US"/>
        </w:rPr>
        <w:t>2002 (superseded/rescinded by Notification No. 12/2012-Cus</w:t>
      </w:r>
      <w:r>
        <w:rPr>
          <w:rFonts w:ascii="Palatino Linotype" w:hAnsi="Palatino Linotype" w:cs="Times New Roman"/>
          <w:lang w:val="en-US"/>
        </w:rPr>
        <w:t>.,</w:t>
      </w:r>
      <w:r w:rsidRPr="00C41EE7">
        <w:rPr>
          <w:rFonts w:ascii="Palatino Linotype" w:hAnsi="Palatino Linotype" w:cs="Times New Roman"/>
          <w:lang w:val="en-US"/>
        </w:rPr>
        <w:t xml:space="preserve"> dated 17</w:t>
      </w:r>
      <w:r>
        <w:rPr>
          <w:rFonts w:ascii="Palatino Linotype" w:hAnsi="Palatino Linotype" w:cs="Times New Roman"/>
          <w:lang w:val="en-US"/>
        </w:rPr>
        <w:t xml:space="preserve"> March </w:t>
      </w:r>
      <w:r w:rsidRPr="00C41EE7">
        <w:rPr>
          <w:rFonts w:ascii="Palatino Linotype" w:hAnsi="Palatino Linotype" w:cs="Times New Roman"/>
          <w:lang w:val="en-US"/>
        </w:rPr>
        <w:t>2012) which defined the term CKD unit</w:t>
      </w:r>
      <w:r w:rsidRPr="00C41EE7">
        <w:rPr>
          <w:rStyle w:val="FootnoteReference"/>
          <w:rFonts w:ascii="Palatino Linotype" w:hAnsi="Palatino Linotype" w:cs="Times New Roman"/>
          <w:lang w:val="en-US"/>
        </w:rPr>
        <w:footnoteReference w:id="2"/>
      </w:r>
      <w:r w:rsidRPr="00C41EE7">
        <w:rPr>
          <w:rFonts w:ascii="Palatino Linotype" w:hAnsi="Palatino Linotype" w:cs="Times New Roman"/>
          <w:lang w:val="en-US"/>
        </w:rPr>
        <w:t xml:space="preserve"> of a vehicle to mean a unit having all necessary components, parts or sub-assemblies for assembling a complete vehicle</w:t>
      </w:r>
      <w:r w:rsidRPr="00C41EE7">
        <w:rPr>
          <w:rFonts w:ascii="Palatino Linotype" w:hAnsi="Palatino Linotype"/>
          <w:lang w:val="en-US"/>
        </w:rPr>
        <w:t xml:space="preserve"> </w:t>
      </w:r>
      <w:r w:rsidRPr="00C41EE7">
        <w:rPr>
          <w:rFonts w:ascii="Palatino Linotype" w:hAnsi="Palatino Linotype" w:cs="Times New Roman"/>
          <w:lang w:val="en-US"/>
        </w:rPr>
        <w:t>but excluded units containing pre-assembled or pre-installed engine, gear box or transmission mechanism. Therefore, it can be understood that a CKD kit must have all the necessary components, parts or sub-assemblies required for assembling a complete vehicle.</w:t>
      </w:r>
    </w:p>
    <w:p w:rsidR="00381173" w:rsidRPr="00C41EE7" w:rsidRDefault="00381173" w:rsidP="00381173">
      <w:pPr>
        <w:spacing w:after="240" w:line="276" w:lineRule="auto"/>
        <w:ind w:firstLine="720"/>
        <w:jc w:val="both"/>
        <w:rPr>
          <w:rFonts w:ascii="Palatino Linotype" w:hAnsi="Palatino Linotype" w:cs="Times New Roman"/>
          <w:lang w:val="en-US"/>
        </w:rPr>
      </w:pPr>
      <w:r w:rsidRPr="00C41EE7">
        <w:rPr>
          <w:rFonts w:ascii="Palatino Linotype" w:hAnsi="Palatino Linotype" w:cs="Times New Roman"/>
          <w:lang w:val="en-US"/>
        </w:rPr>
        <w:t xml:space="preserve">Whereas the newly inserted explanation in S. No. 526A of Exemption Notification allows an importer of EV in ‘knocked down kit’ to avail concessional rate of duty even if one or more of the components, parts or sub-assemblies required for assembling a complete vehicle are not imported in the knocked down kit, but such kit must be classifiable under CTH 8703 as per the General Rules of Interpretation. However, no such explanation has been in inserted at S. No. 526 for ICE vehicles imported in ‘CKD kit’. Thus, a clarification on the scope </w:t>
      </w:r>
      <w:r w:rsidRPr="00C41EE7">
        <w:rPr>
          <w:rFonts w:ascii="Palatino Linotype" w:hAnsi="Palatino Linotype" w:cs="Times New Roman"/>
          <w:lang w:val="en-US"/>
        </w:rPr>
        <w:lastRenderedPageBreak/>
        <w:t>and essentials of ‘semi-knocked down kit’ and ‘completely knocked down kit’ would bring certainty in the minds of importer</w:t>
      </w:r>
      <w:r>
        <w:rPr>
          <w:rFonts w:ascii="Palatino Linotype" w:hAnsi="Palatino Linotype" w:cs="Times New Roman"/>
          <w:lang w:val="en-US"/>
        </w:rPr>
        <w:t>s</w:t>
      </w:r>
      <w:r w:rsidRPr="00C41EE7">
        <w:rPr>
          <w:rFonts w:ascii="Palatino Linotype" w:hAnsi="Palatino Linotype" w:cs="Times New Roman"/>
          <w:lang w:val="en-US"/>
        </w:rPr>
        <w:t xml:space="preserve">.  </w:t>
      </w:r>
    </w:p>
    <w:p w:rsidR="00381173" w:rsidRPr="00C41EE7" w:rsidRDefault="00381173" w:rsidP="00381173">
      <w:pPr>
        <w:spacing w:after="240" w:line="276" w:lineRule="auto"/>
        <w:jc w:val="both"/>
        <w:rPr>
          <w:rFonts w:ascii="Palatino Linotype" w:hAnsi="Palatino Linotype" w:cs="Times New Roman"/>
          <w:b/>
          <w:bCs/>
          <w:i/>
          <w:iCs/>
          <w:lang w:val="en-US"/>
        </w:rPr>
      </w:pPr>
      <w:r w:rsidRPr="00C41EE7">
        <w:rPr>
          <w:rFonts w:ascii="Palatino Linotype" w:hAnsi="Palatino Linotype" w:cs="Times New Roman"/>
          <w:b/>
          <w:bCs/>
          <w:i/>
          <w:iCs/>
        </w:rPr>
        <w:t>‘Individually pre-assembled’</w:t>
      </w:r>
      <w:r w:rsidRPr="00C41EE7">
        <w:rPr>
          <w:rFonts w:ascii="Palatino Linotype" w:hAnsi="Palatino Linotype" w:cs="Times New Roman"/>
          <w:b/>
          <w:bCs/>
          <w:i/>
          <w:iCs/>
          <w:lang w:val="en-US"/>
        </w:rPr>
        <w:t>:</w:t>
      </w:r>
    </w:p>
    <w:p w:rsidR="00381173" w:rsidRDefault="00381173" w:rsidP="00381173">
      <w:pPr>
        <w:spacing w:after="240" w:line="276" w:lineRule="auto"/>
        <w:ind w:firstLine="720"/>
        <w:jc w:val="both"/>
        <w:rPr>
          <w:rFonts w:ascii="Palatino Linotype" w:hAnsi="Palatino Linotype" w:cs="Times New Roman"/>
          <w:lang w:val="en-US"/>
        </w:rPr>
      </w:pPr>
      <w:r w:rsidRPr="00C41EE7">
        <w:rPr>
          <w:rFonts w:ascii="Palatino Linotype" w:hAnsi="Palatino Linotype" w:cs="Times New Roman"/>
          <w:lang w:val="en-US"/>
        </w:rPr>
        <w:t xml:space="preserve">The condition of different levels of ‘pre-assembly’ of specified components of kit as required </w:t>
      </w:r>
      <w:r w:rsidRPr="00C41EE7">
        <w:rPr>
          <w:rFonts w:ascii="Palatino Linotype" w:hAnsi="Palatino Linotype" w:cs="Times New Roman"/>
        </w:rPr>
        <w:t>under clause 1(a) and 1(b) of earlier entry, h</w:t>
      </w:r>
      <w:r w:rsidRPr="00C41EE7">
        <w:rPr>
          <w:rFonts w:ascii="Palatino Linotype" w:hAnsi="Palatino Linotype" w:cs="Times New Roman"/>
          <w:lang w:val="en-US"/>
        </w:rPr>
        <w:t xml:space="preserve">as now been relaxed and incorporated in Clause (1) of the substituted entry, providing that the components contained in an EV kit, may or may not be individually pre-assembled at the time of import of kit. </w:t>
      </w:r>
    </w:p>
    <w:p w:rsidR="00381173" w:rsidRDefault="00381173" w:rsidP="00381173">
      <w:pPr>
        <w:spacing w:after="240" w:line="276" w:lineRule="auto"/>
        <w:ind w:firstLine="720"/>
        <w:jc w:val="both"/>
        <w:rPr>
          <w:rFonts w:ascii="Palatino Linotype" w:hAnsi="Palatino Linotype" w:cs="Times New Roman"/>
          <w:lang w:val="en-US"/>
        </w:rPr>
      </w:pPr>
      <w:r w:rsidRPr="00C41EE7">
        <w:rPr>
          <w:rFonts w:ascii="Palatino Linotype" w:hAnsi="Palatino Linotype" w:cs="Times New Roman"/>
          <w:lang w:val="en-US"/>
        </w:rPr>
        <w:t xml:space="preserve">Whereas as per the earlier entry, if the said components were </w:t>
      </w:r>
      <w:r w:rsidRPr="00C41EE7">
        <w:rPr>
          <w:rFonts w:ascii="Palatino Linotype" w:hAnsi="Palatino Linotype" w:cs="Times New Roman"/>
          <w:u w:val="single"/>
          <w:lang w:val="en-US"/>
        </w:rPr>
        <w:t>disassembled</w:t>
      </w:r>
      <w:r w:rsidRPr="00C41EE7">
        <w:rPr>
          <w:rFonts w:ascii="Palatino Linotype" w:hAnsi="Palatino Linotype" w:cs="Times New Roman"/>
          <w:lang w:val="en-US"/>
        </w:rPr>
        <w:t xml:space="preserve"> but not mounted on a chassis, the benefit of concessional rate of duty under clause 1(a) @ 15% was allowed and if the said same were </w:t>
      </w:r>
      <w:r w:rsidRPr="00C41EE7">
        <w:rPr>
          <w:rFonts w:ascii="Palatino Linotype" w:hAnsi="Palatino Linotype" w:cs="Times New Roman"/>
          <w:u w:val="single"/>
          <w:lang w:val="en-US"/>
        </w:rPr>
        <w:t>pre-assembled</w:t>
      </w:r>
      <w:r w:rsidRPr="00C41EE7">
        <w:rPr>
          <w:rFonts w:ascii="Palatino Linotype" w:hAnsi="Palatino Linotype" w:cs="Times New Roman"/>
          <w:lang w:val="en-US"/>
        </w:rPr>
        <w:t xml:space="preserve"> then the Kit was subject to duty @ 30% under clause 1(b). </w:t>
      </w:r>
    </w:p>
    <w:p w:rsidR="00381173" w:rsidRPr="00C41EE7" w:rsidRDefault="00381173" w:rsidP="00381173">
      <w:pPr>
        <w:spacing w:after="240" w:line="276" w:lineRule="auto"/>
        <w:ind w:firstLine="720"/>
        <w:jc w:val="both"/>
        <w:rPr>
          <w:rFonts w:ascii="Palatino Linotype" w:hAnsi="Palatino Linotype" w:cs="Times New Roman"/>
          <w:lang w:val="en-US"/>
        </w:rPr>
      </w:pPr>
      <w:r w:rsidRPr="00C41EE7">
        <w:rPr>
          <w:rFonts w:ascii="Palatino Linotype" w:hAnsi="Palatino Linotype" w:cs="Times New Roman"/>
          <w:lang w:val="en-US"/>
        </w:rPr>
        <w:t xml:space="preserve">At this juncture, it is necessary to understand the meaning phrase ‘individually pre-assembled’ which presently has not been defined in the Exemption Notification. It can be said that unlike earlier entry, </w:t>
      </w:r>
      <w:r w:rsidRPr="00C41EE7">
        <w:rPr>
          <w:rFonts w:ascii="Palatino Linotype" w:hAnsi="Palatino Linotype" w:cs="Times New Roman"/>
        </w:rPr>
        <w:t xml:space="preserve">assembly of parts is not the criteria for deciding on the applicable rate of duty. However, the significance of term ‘individually’ being inserted before ‘pre-assembled’ could create confusion hence, a clarification in this regard would be of great help for the industry. </w:t>
      </w:r>
    </w:p>
    <w:p w:rsidR="00381173" w:rsidRDefault="00381173" w:rsidP="00381173">
      <w:pPr>
        <w:tabs>
          <w:tab w:val="left" w:pos="1115"/>
        </w:tabs>
        <w:spacing w:after="240" w:line="276" w:lineRule="auto"/>
        <w:jc w:val="both"/>
        <w:rPr>
          <w:rFonts w:ascii="Palatino Linotype" w:hAnsi="Palatino Linotype" w:cs="Times New Roman"/>
          <w:lang w:val="en-US"/>
        </w:rPr>
      </w:pPr>
      <w:r w:rsidRPr="00C41EE7">
        <w:rPr>
          <w:rFonts w:ascii="Palatino Linotype" w:hAnsi="Palatino Linotype" w:cs="Times New Roman"/>
          <w:b/>
          <w:bCs/>
          <w:i/>
          <w:iCs/>
          <w:lang w:val="en-US"/>
        </w:rPr>
        <w:t>‘Inter-connected with each other’</w:t>
      </w:r>
    </w:p>
    <w:p w:rsidR="00381173" w:rsidRPr="00BF2BE7" w:rsidRDefault="00381173" w:rsidP="00381173">
      <w:pPr>
        <w:tabs>
          <w:tab w:val="left" w:pos="1115"/>
        </w:tabs>
        <w:spacing w:after="240" w:line="276" w:lineRule="auto"/>
        <w:jc w:val="both"/>
        <w:rPr>
          <w:rFonts w:ascii="Palatino Linotype" w:hAnsi="Palatino Linotype" w:cs="Times New Roman"/>
          <w:lang w:val="en-US"/>
        </w:rPr>
      </w:pPr>
      <w:r>
        <w:rPr>
          <w:rFonts w:ascii="Palatino Linotype" w:hAnsi="Palatino Linotype" w:cs="Times New Roman"/>
          <w:lang w:val="en-US"/>
        </w:rPr>
        <w:tab/>
      </w:r>
      <w:r w:rsidRPr="00C41EE7">
        <w:rPr>
          <w:rFonts w:ascii="Palatino Linotype" w:hAnsi="Palatino Linotype" w:cs="Times New Roman"/>
          <w:lang w:val="en-US"/>
        </w:rPr>
        <w:t xml:space="preserve">The clause (1)(a) of substituted entry at 526A, requires that none of </w:t>
      </w:r>
      <w:r w:rsidRPr="00BF2BE7">
        <w:rPr>
          <w:rFonts w:ascii="Palatino Linotype" w:hAnsi="Palatino Linotype" w:cs="Times New Roman"/>
          <w:lang w:val="en-US"/>
        </w:rPr>
        <w:t>the components, parts or sub-assemblies contained in a kit shall be inter-connected with each other and mounted on chassis for qualifying under 15% rate of BCD. The phrase ‘inter-connected with each other’ used in aforesaid clause plays an important role in deciding the applicable rate of duty on</w:t>
      </w:r>
      <w:r w:rsidRPr="00C41EE7">
        <w:rPr>
          <w:rFonts w:ascii="Palatino Linotype" w:hAnsi="Palatino Linotype" w:cs="Times New Roman"/>
        </w:rPr>
        <w:t xml:space="preserve"> import of EVs; however, its meaning has not been provided in the Exemption Notification.</w:t>
      </w:r>
    </w:p>
    <w:p w:rsidR="00381173" w:rsidRPr="00C41EE7" w:rsidRDefault="00381173" w:rsidP="00381173">
      <w:pPr>
        <w:tabs>
          <w:tab w:val="left" w:pos="1115"/>
        </w:tabs>
        <w:spacing w:before="240" w:line="276" w:lineRule="auto"/>
        <w:jc w:val="both"/>
        <w:rPr>
          <w:rFonts w:ascii="Palatino Linotype" w:hAnsi="Palatino Linotype" w:cs="Times New Roman"/>
          <w:lang w:val="en-US"/>
        </w:rPr>
      </w:pPr>
      <w:r>
        <w:rPr>
          <w:rFonts w:ascii="Palatino Linotype" w:hAnsi="Palatino Linotype" w:cs="Times New Roman"/>
        </w:rPr>
        <w:tab/>
      </w:r>
      <w:r w:rsidRPr="00C41EE7">
        <w:rPr>
          <w:rFonts w:ascii="Palatino Linotype" w:hAnsi="Palatino Linotype" w:cs="Times New Roman"/>
        </w:rPr>
        <w:t xml:space="preserve">The word interconnection has been commonly used in context of the </w:t>
      </w:r>
      <w:r w:rsidRPr="00C41EE7">
        <w:rPr>
          <w:rFonts w:ascii="Palatino Linotype" w:hAnsi="Palatino Linotype" w:cs="Times New Roman"/>
          <w:lang w:val="en-US"/>
        </w:rPr>
        <w:t xml:space="preserve">components, parts as well as sub-assemblies. Thus, it is not clear if interconnection of various sub-assemblies for import of a part or interconnection of various parts for import of a component would be eligible for 15% rate of BCD. The industry is eagerly looking forward to getting more clarity regarding levels of integration allowed under clause 1(a) and 1(b). </w:t>
      </w:r>
    </w:p>
    <w:p w:rsidR="00381173" w:rsidRPr="00C41EE7" w:rsidRDefault="00381173" w:rsidP="00381173">
      <w:pPr>
        <w:tabs>
          <w:tab w:val="left" w:pos="1115"/>
        </w:tabs>
        <w:spacing w:line="276" w:lineRule="auto"/>
        <w:jc w:val="both"/>
        <w:rPr>
          <w:rFonts w:ascii="Palatino Linotype" w:hAnsi="Palatino Linotype" w:cs="Times New Roman"/>
          <w:lang w:val="en-US"/>
        </w:rPr>
      </w:pPr>
    </w:p>
    <w:p w:rsidR="00381173" w:rsidRPr="00C41EE7" w:rsidRDefault="00381173" w:rsidP="00381173">
      <w:pPr>
        <w:spacing w:after="240" w:line="276" w:lineRule="auto"/>
        <w:rPr>
          <w:rFonts w:ascii="Palatino Linotype" w:hAnsi="Palatino Linotype" w:cs="Times New Roman"/>
          <w:b/>
          <w:bCs/>
          <w:lang w:val="en-US"/>
        </w:rPr>
      </w:pPr>
      <w:r w:rsidRPr="00C41EE7">
        <w:rPr>
          <w:rFonts w:ascii="Palatino Linotype" w:hAnsi="Palatino Linotype" w:cs="Times New Roman"/>
          <w:b/>
          <w:bCs/>
          <w:lang w:val="en-US"/>
        </w:rPr>
        <w:t>Explanation</w:t>
      </w:r>
    </w:p>
    <w:p w:rsidR="00381173" w:rsidRPr="00C41EE7" w:rsidRDefault="00381173" w:rsidP="00381173">
      <w:pPr>
        <w:tabs>
          <w:tab w:val="left" w:pos="1115"/>
        </w:tabs>
        <w:spacing w:line="276" w:lineRule="auto"/>
        <w:jc w:val="both"/>
        <w:rPr>
          <w:rFonts w:ascii="Palatino Linotype" w:hAnsi="Palatino Linotype" w:cs="Times New Roman"/>
          <w:lang w:val="en-US"/>
        </w:rPr>
      </w:pPr>
      <w:r>
        <w:rPr>
          <w:rFonts w:ascii="Palatino Linotype" w:hAnsi="Palatino Linotype" w:cs="Times New Roman"/>
          <w:lang w:val="en-US"/>
        </w:rPr>
        <w:tab/>
      </w:r>
      <w:r w:rsidRPr="00C41EE7">
        <w:rPr>
          <w:rFonts w:ascii="Palatino Linotype" w:hAnsi="Palatino Linotype" w:cs="Times New Roman"/>
          <w:lang w:val="en-US"/>
        </w:rPr>
        <w:t>An explanation has been added to</w:t>
      </w:r>
      <w:r w:rsidRPr="00C41EE7">
        <w:rPr>
          <w:rFonts w:ascii="Palatino Linotype" w:hAnsi="Palatino Linotype" w:cs="Times New Roman"/>
          <w:b/>
          <w:bCs/>
          <w:lang w:val="en-US"/>
        </w:rPr>
        <w:t xml:space="preserve"> </w:t>
      </w:r>
      <w:r w:rsidRPr="00C41EE7">
        <w:rPr>
          <w:rFonts w:ascii="Palatino Linotype" w:hAnsi="Palatino Linotype" w:cs="Times New Roman"/>
          <w:lang w:val="en-US"/>
        </w:rPr>
        <w:t xml:space="preserve">the substituted entry at S. No. 526A </w:t>
      </w:r>
      <w:r w:rsidRPr="00C41EE7">
        <w:rPr>
          <w:rFonts w:ascii="Palatino Linotype" w:hAnsi="Palatino Linotype" w:cs="Times New Roman"/>
        </w:rPr>
        <w:t xml:space="preserve">stating that the benefit of </w:t>
      </w:r>
      <w:r w:rsidRPr="00C41EE7">
        <w:rPr>
          <w:rFonts w:ascii="Palatino Linotype" w:hAnsi="Palatino Linotype" w:cs="Times New Roman"/>
          <w:lang w:val="en-US"/>
        </w:rPr>
        <w:t>concessional</w:t>
      </w:r>
      <w:r w:rsidRPr="00C41EE7">
        <w:rPr>
          <w:rFonts w:ascii="Palatino Linotype" w:hAnsi="Palatino Linotype" w:cs="Times New Roman"/>
        </w:rPr>
        <w:t xml:space="preserve"> rate shall be available even if one or more parts required for assembly of an EV are not imported in the Kit, however the kit as presented remains classifiable under CTH 87.03 as per GIR 2(a). In terms of TRU letter dated </w:t>
      </w:r>
      <w:r w:rsidRPr="00C41EE7">
        <w:rPr>
          <w:rFonts w:ascii="Palatino Linotype" w:hAnsi="Palatino Linotype" w:cs="Times New Roman"/>
          <w:lang w:val="en-US"/>
        </w:rPr>
        <w:t xml:space="preserve">dated 01.02.2022, </w:t>
      </w:r>
      <w:r w:rsidRPr="00C41EE7">
        <w:rPr>
          <w:rFonts w:ascii="Palatino Linotype" w:hAnsi="Palatino Linotype" w:cs="Times New Roman"/>
          <w:lang w:val="en-US"/>
        </w:rPr>
        <w:lastRenderedPageBreak/>
        <w:t>the said explanation has been added to provide that for an EV kit to be eligible for duty benefits: -</w:t>
      </w:r>
    </w:p>
    <w:p w:rsidR="00381173" w:rsidRPr="00C41EE7" w:rsidRDefault="00381173" w:rsidP="00381173">
      <w:pPr>
        <w:pStyle w:val="ListParagraph"/>
        <w:numPr>
          <w:ilvl w:val="0"/>
          <w:numId w:val="1"/>
        </w:numPr>
        <w:spacing w:after="240" w:line="276" w:lineRule="auto"/>
        <w:ind w:left="714" w:hanging="357"/>
        <w:jc w:val="both"/>
        <w:rPr>
          <w:rFonts w:ascii="Palatino Linotype" w:hAnsi="Palatino Linotype" w:cs="Times New Roman"/>
          <w:lang w:val="en-US"/>
        </w:rPr>
      </w:pPr>
      <w:r w:rsidRPr="00C41EE7">
        <w:rPr>
          <w:rFonts w:ascii="Palatino Linotype" w:hAnsi="Palatino Linotype" w:cs="Times New Roman"/>
          <w:lang w:val="en-US"/>
        </w:rPr>
        <w:t>Each individual component in the kit need not be in a disassembled form.</w:t>
      </w:r>
    </w:p>
    <w:p w:rsidR="00381173" w:rsidRPr="00C41EE7" w:rsidRDefault="00381173" w:rsidP="00381173">
      <w:pPr>
        <w:pStyle w:val="ListParagraph"/>
        <w:numPr>
          <w:ilvl w:val="0"/>
          <w:numId w:val="1"/>
        </w:numPr>
        <w:spacing w:after="240" w:line="276" w:lineRule="auto"/>
        <w:ind w:left="714" w:hanging="357"/>
        <w:jc w:val="both"/>
        <w:rPr>
          <w:rFonts w:ascii="Palatino Linotype" w:hAnsi="Palatino Linotype" w:cs="Times New Roman"/>
          <w:b/>
          <w:bCs/>
          <w:lang w:val="en-US"/>
        </w:rPr>
      </w:pPr>
      <w:r w:rsidRPr="00C41EE7">
        <w:rPr>
          <w:rFonts w:ascii="Palatino Linotype" w:hAnsi="Palatino Linotype" w:cs="Times New Roman"/>
          <w:lang w:val="en-US"/>
        </w:rPr>
        <w:t xml:space="preserve">Even if some components are missing in the EV kit, the benefit would still be available provided that the kit as presented has the essential character of an EV. </w:t>
      </w:r>
    </w:p>
    <w:p w:rsidR="00381173" w:rsidRPr="00C41EE7" w:rsidRDefault="00381173" w:rsidP="00381173">
      <w:pPr>
        <w:tabs>
          <w:tab w:val="left" w:pos="1115"/>
        </w:tabs>
        <w:spacing w:before="240" w:line="276" w:lineRule="auto"/>
        <w:jc w:val="both"/>
        <w:rPr>
          <w:rFonts w:ascii="Palatino Linotype" w:hAnsi="Palatino Linotype" w:cs="Times New Roman"/>
          <w:lang w:val="en-US"/>
        </w:rPr>
      </w:pPr>
      <w:r>
        <w:rPr>
          <w:rFonts w:ascii="Palatino Linotype" w:hAnsi="Palatino Linotype" w:cs="Times New Roman"/>
          <w:lang w:val="en-US"/>
        </w:rPr>
        <w:tab/>
      </w:r>
      <w:r w:rsidRPr="00C41EE7">
        <w:rPr>
          <w:rFonts w:ascii="Palatino Linotype" w:hAnsi="Palatino Linotype" w:cs="Times New Roman"/>
          <w:lang w:val="en-US"/>
        </w:rPr>
        <w:t xml:space="preserve">The insertion of said explanation raises a fresh need to define which parts, components or sub-assemblies contained in an EV kit provides ‘essential characteristics’ to it as the Exemption Notification is silent on it. </w:t>
      </w:r>
    </w:p>
    <w:p w:rsidR="00381173" w:rsidRPr="00C41EE7" w:rsidRDefault="00381173" w:rsidP="00381173">
      <w:pPr>
        <w:spacing w:line="276" w:lineRule="auto"/>
        <w:rPr>
          <w:rFonts w:ascii="Palatino Linotype" w:hAnsi="Palatino Linotype" w:cs="Times New Roman"/>
          <w:b/>
          <w:bCs/>
          <w:lang w:val="en-US"/>
        </w:rPr>
      </w:pPr>
    </w:p>
    <w:p w:rsidR="00381173" w:rsidRPr="00C41EE7" w:rsidRDefault="00381173" w:rsidP="00381173">
      <w:pPr>
        <w:spacing w:after="240" w:line="276" w:lineRule="auto"/>
        <w:rPr>
          <w:rFonts w:ascii="Palatino Linotype" w:hAnsi="Palatino Linotype" w:cs="Times New Roman"/>
          <w:lang w:val="en-US"/>
        </w:rPr>
      </w:pPr>
      <w:r w:rsidRPr="00C41EE7">
        <w:rPr>
          <w:rFonts w:ascii="Palatino Linotype" w:hAnsi="Palatino Linotype" w:cs="Times New Roman"/>
          <w:b/>
          <w:bCs/>
          <w:lang w:val="en-US"/>
        </w:rPr>
        <w:t xml:space="preserve">Epilogue </w:t>
      </w:r>
    </w:p>
    <w:p w:rsidR="00381173" w:rsidRPr="00C41EE7" w:rsidRDefault="00381173" w:rsidP="00381173">
      <w:pPr>
        <w:spacing w:line="276" w:lineRule="auto"/>
        <w:ind w:firstLine="720"/>
        <w:jc w:val="both"/>
        <w:rPr>
          <w:rFonts w:ascii="Palatino Linotype" w:hAnsi="Palatino Linotype" w:cs="Times New Roman"/>
          <w:lang w:val="en-US"/>
        </w:rPr>
      </w:pPr>
      <w:r w:rsidRPr="00C41EE7">
        <w:rPr>
          <w:rFonts w:ascii="Palatino Linotype" w:hAnsi="Palatino Linotype" w:cs="Times New Roman"/>
          <w:lang w:val="en-US"/>
        </w:rPr>
        <w:t>The TRU letter in D.O. F. No. 334/01/2022-TRU dated 1</w:t>
      </w:r>
      <w:r>
        <w:rPr>
          <w:rFonts w:ascii="Palatino Linotype" w:hAnsi="Palatino Linotype" w:cs="Times New Roman"/>
          <w:lang w:val="en-US"/>
        </w:rPr>
        <w:t xml:space="preserve"> February </w:t>
      </w:r>
      <w:r w:rsidRPr="00C41EE7">
        <w:rPr>
          <w:rFonts w:ascii="Palatino Linotype" w:hAnsi="Palatino Linotype" w:cs="Times New Roman"/>
          <w:lang w:val="en-US"/>
        </w:rPr>
        <w:t xml:space="preserve">2022 has clarified that the changes in the Exemption Notification for goods under Chapter 87 have been made to remove the doubts that have arisen about the scope of the entries and that the changes are merely clarificatory in nature. Though, there is no change in the rate of duty, the changes carried out in the description in context of the form and </w:t>
      </w:r>
      <w:proofErr w:type="gramStart"/>
      <w:r w:rsidRPr="00C41EE7">
        <w:rPr>
          <w:rFonts w:ascii="Palatino Linotype" w:hAnsi="Palatino Linotype" w:cs="Times New Roman"/>
          <w:lang w:val="en-US"/>
        </w:rPr>
        <w:t>manner in which</w:t>
      </w:r>
      <w:proofErr w:type="gramEnd"/>
      <w:r w:rsidRPr="00C41EE7">
        <w:rPr>
          <w:rFonts w:ascii="Palatino Linotype" w:hAnsi="Palatino Linotype" w:cs="Times New Roman"/>
          <w:lang w:val="en-US"/>
        </w:rPr>
        <w:t xml:space="preserve"> the goods are to be imported is likely to cause muddle among the industry and the field formations. The industry is therefore expecting clarification on this front to arrest any possible litigation or dispute in the future. </w:t>
      </w:r>
    </w:p>
    <w:p w:rsidR="00381173" w:rsidRPr="00C41EE7" w:rsidRDefault="00381173" w:rsidP="00381173">
      <w:pPr>
        <w:tabs>
          <w:tab w:val="left" w:pos="1115"/>
        </w:tabs>
        <w:spacing w:before="240" w:after="240" w:line="276" w:lineRule="auto"/>
        <w:jc w:val="both"/>
        <w:rPr>
          <w:rFonts w:ascii="Palatino Linotype" w:hAnsi="Palatino Linotype" w:cs="Times New Roman"/>
          <w:lang w:val="en-US"/>
        </w:rPr>
      </w:pPr>
      <w:r>
        <w:rPr>
          <w:rFonts w:ascii="Palatino Linotype" w:hAnsi="Palatino Linotype" w:cs="Times New Roman"/>
          <w:lang w:val="en-US"/>
        </w:rPr>
        <w:tab/>
      </w:r>
      <w:r w:rsidRPr="00C41EE7">
        <w:rPr>
          <w:rFonts w:ascii="Palatino Linotype" w:hAnsi="Palatino Linotype" w:cs="Times New Roman"/>
          <w:lang w:val="en-US"/>
        </w:rPr>
        <w:t xml:space="preserve">The changes in the entry in the Exemption Notification relating to import of EVs are carried out to encourage companies to set-up their manufacturing plants in India. </w:t>
      </w:r>
      <w:proofErr w:type="gramStart"/>
      <w:r w:rsidRPr="00C41EE7">
        <w:rPr>
          <w:rFonts w:ascii="Palatino Linotype" w:hAnsi="Palatino Linotype" w:cs="Times New Roman"/>
          <w:lang w:val="en-US"/>
        </w:rPr>
        <w:t>This intent,</w:t>
      </w:r>
      <w:proofErr w:type="gramEnd"/>
      <w:r w:rsidRPr="00C41EE7">
        <w:rPr>
          <w:rFonts w:ascii="Palatino Linotype" w:hAnsi="Palatino Linotype" w:cs="Times New Roman"/>
          <w:lang w:val="en-US"/>
        </w:rPr>
        <w:t xml:space="preserve"> coupled with Government’s commitment towards </w:t>
      </w:r>
      <w:r w:rsidRPr="00C41EE7">
        <w:rPr>
          <w:rFonts w:ascii="Palatino Linotype" w:hAnsi="Palatino Linotype" w:cs="Times New Roman"/>
          <w:i/>
          <w:iCs/>
          <w:lang w:val="en-US"/>
        </w:rPr>
        <w:t>Clean &amp; Sustainable Mobility Programme</w:t>
      </w:r>
      <w:r w:rsidRPr="00C41EE7">
        <w:rPr>
          <w:rFonts w:ascii="Palatino Linotype" w:hAnsi="Palatino Linotype" w:cs="Times New Roman"/>
          <w:lang w:val="en-US"/>
        </w:rPr>
        <w:t xml:space="preserve"> and introduction of </w:t>
      </w:r>
      <w:r w:rsidRPr="00C41EE7">
        <w:rPr>
          <w:rFonts w:ascii="Palatino Linotype" w:hAnsi="Palatino Linotype" w:cs="Times New Roman"/>
          <w:i/>
          <w:iCs/>
          <w:lang w:val="en-US"/>
        </w:rPr>
        <w:t>Battery Swapping Policy</w:t>
      </w:r>
      <w:r w:rsidRPr="00C41EE7">
        <w:rPr>
          <w:rFonts w:ascii="Palatino Linotype" w:hAnsi="Palatino Linotype" w:cs="Times New Roman"/>
          <w:lang w:val="en-US"/>
        </w:rPr>
        <w:t xml:space="preserve"> in alternative for charging stations are clear indicators of our vision to evolve an efficient EV Ecosystem. </w:t>
      </w:r>
      <w:r w:rsidRPr="00C41EE7">
        <w:rPr>
          <w:rFonts w:ascii="Palatino Linotype" w:hAnsi="Palatino Linotype" w:cs="Times New Roman"/>
        </w:rPr>
        <w:t>Thus, it would be interesting to witness how the EV Ecosystem unfolds and how efficient the fuelling by Union Budget, 2022 proves to be.</w:t>
      </w:r>
    </w:p>
    <w:p w:rsidR="00381173" w:rsidRPr="00C41EE7" w:rsidRDefault="00381173" w:rsidP="00381173">
      <w:pPr>
        <w:autoSpaceDE w:val="0"/>
        <w:autoSpaceDN w:val="0"/>
        <w:adjustRightInd w:val="0"/>
        <w:spacing w:after="240" w:line="276" w:lineRule="auto"/>
        <w:jc w:val="both"/>
        <w:rPr>
          <w:rFonts w:ascii="Palatino Linotype" w:hAnsi="Palatino Linotype"/>
          <w:b/>
        </w:rPr>
      </w:pPr>
      <w:r w:rsidRPr="00C41EE7">
        <w:rPr>
          <w:rFonts w:ascii="Palatino Linotype" w:hAnsi="Palatino Linotype"/>
          <w:b/>
        </w:rPr>
        <w:t>[The authors are Joint Partner and Associate, respectively, in Lakshmikumaran &amp; Sridharan Attorneys, Bengaluru]</w:t>
      </w:r>
    </w:p>
    <w:p w:rsidR="00D613CF" w:rsidRDefault="00D613CF">
      <w:bookmarkStart w:id="2" w:name="_GoBack"/>
      <w:bookmarkEnd w:id="2"/>
    </w:p>
    <w:sectPr w:rsidR="00D613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E52" w:rsidRDefault="00852E52" w:rsidP="00381173">
      <w:r>
        <w:separator/>
      </w:r>
    </w:p>
  </w:endnote>
  <w:endnote w:type="continuationSeparator" w:id="0">
    <w:p w:rsidR="00852E52" w:rsidRDefault="00852E52" w:rsidP="0038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E52" w:rsidRDefault="00852E52" w:rsidP="00381173">
      <w:r>
        <w:separator/>
      </w:r>
    </w:p>
  </w:footnote>
  <w:footnote w:type="continuationSeparator" w:id="0">
    <w:p w:rsidR="00852E52" w:rsidRDefault="00852E52" w:rsidP="00381173">
      <w:r>
        <w:continuationSeparator/>
      </w:r>
    </w:p>
  </w:footnote>
  <w:footnote w:id="1">
    <w:p w:rsidR="00381173" w:rsidRDefault="00381173" w:rsidP="00381173">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Paris Agreement is a legally binding international treaty on climate change which was adopted by 196 parties (including India) at the 21</w:t>
      </w:r>
      <w:r>
        <w:rPr>
          <w:rFonts w:ascii="Times New Roman" w:hAnsi="Times New Roman" w:cs="Times New Roman"/>
          <w:vertAlign w:val="superscript"/>
          <w:lang w:val="en-US"/>
        </w:rPr>
        <w:t>st</w:t>
      </w:r>
      <w:r>
        <w:rPr>
          <w:rFonts w:ascii="Times New Roman" w:hAnsi="Times New Roman" w:cs="Times New Roman"/>
          <w:lang w:val="en-US"/>
        </w:rPr>
        <w:t xml:space="preserve"> Conference of Parties in Paris, on December 12, 2015, and was enforced on November 4, 2016.</w:t>
      </w:r>
    </w:p>
  </w:footnote>
  <w:footnote w:id="2">
    <w:p w:rsidR="00381173" w:rsidRDefault="00381173" w:rsidP="0038117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“Explanation.- For the purposes of this exemption, “ Completely Knocked Down” unit means a unit having all the necessary components, parts or sub-assemblies for assembling a complete vehicle but does not include,-</w:t>
      </w:r>
    </w:p>
    <w:p w:rsidR="00381173" w:rsidRDefault="00381173" w:rsidP="00381173">
      <w:pPr>
        <w:pStyle w:val="FootnoteText"/>
        <w:ind w:left="284"/>
        <w:jc w:val="both"/>
        <w:rPr>
          <w:rFonts w:ascii="Times New Roman" w:hAnsi="Times New Roman" w:cs="Times New Roman"/>
        </w:rPr>
      </w:pPr>
      <w:r>
        <w:rPr>
          <w:rFonts w:ascii="Times New Roman" w:hAnsi="Times New Roman" w:cs="Times New Roman"/>
        </w:rPr>
        <w:t>(a) a unit containing a pre-assembled engine or gearbox or transmission mechanism; or</w:t>
      </w:r>
    </w:p>
    <w:p w:rsidR="00381173" w:rsidRDefault="00381173" w:rsidP="00381173">
      <w:pPr>
        <w:pStyle w:val="FootnoteText"/>
        <w:ind w:left="284"/>
        <w:jc w:val="both"/>
        <w:rPr>
          <w:rFonts w:ascii="Times New Roman" w:hAnsi="Times New Roman" w:cs="Times New Roman"/>
          <w:lang w:val="en-US"/>
        </w:rPr>
      </w:pPr>
      <w:r>
        <w:rPr>
          <w:rFonts w:ascii="Times New Roman" w:hAnsi="Times New Roman" w:cs="Times New Roman"/>
        </w:rPr>
        <w:t>(b) a body assembly of a vehicle on which any of the component or sub-assembly viz. engine or gearbox or transmission mechanism is installed‟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95A1A"/>
    <w:multiLevelType w:val="hybridMultilevel"/>
    <w:tmpl w:val="A6129762"/>
    <w:lvl w:ilvl="0" w:tplc="3208AB0C">
      <w:start w:val="1"/>
      <w:numFmt w:val="lowerLetter"/>
      <w:lvlText w:val="%1)"/>
      <w:lvlJc w:val="left"/>
      <w:pPr>
        <w:ind w:left="0" w:hanging="360"/>
      </w:pPr>
      <w:rPr>
        <w:b w:val="0"/>
        <w:bCs w:val="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73"/>
    <w:rsid w:val="00381173"/>
    <w:rsid w:val="00852E52"/>
    <w:rsid w:val="00D613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94185-E204-4574-A8FF-E0BCDA73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173"/>
    <w:pPr>
      <w:spacing w:after="0" w:line="240" w:lineRule="auto"/>
      <w:jc w:val="left"/>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173"/>
    <w:pPr>
      <w:ind w:left="720"/>
      <w:contextualSpacing/>
    </w:pPr>
  </w:style>
  <w:style w:type="paragraph" w:styleId="FootnoteText">
    <w:name w:val="footnote text"/>
    <w:basedOn w:val="Normal"/>
    <w:link w:val="FootnoteTextChar"/>
    <w:uiPriority w:val="99"/>
    <w:semiHidden/>
    <w:unhideWhenUsed/>
    <w:rsid w:val="00381173"/>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81173"/>
    <w:rPr>
      <w:sz w:val="20"/>
      <w:szCs w:val="20"/>
    </w:rPr>
  </w:style>
  <w:style w:type="character" w:styleId="FootnoteReference">
    <w:name w:val="footnote reference"/>
    <w:basedOn w:val="DefaultParagraphFont"/>
    <w:uiPriority w:val="99"/>
    <w:semiHidden/>
    <w:unhideWhenUsed/>
    <w:rsid w:val="00381173"/>
    <w:rPr>
      <w:vertAlign w:val="superscript"/>
    </w:rPr>
  </w:style>
  <w:style w:type="table" w:styleId="TableGrid">
    <w:name w:val="Table Grid"/>
    <w:basedOn w:val="TableNormal"/>
    <w:uiPriority w:val="39"/>
    <w:rsid w:val="00381173"/>
    <w:pPr>
      <w:spacing w:after="0" w:line="240" w:lineRule="auto"/>
      <w:jc w:val="lef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9506</Characters>
  <Application>Microsoft Office Word</Application>
  <DocSecurity>0</DocSecurity>
  <Lines>148</Lines>
  <Paragraphs>49</Paragraphs>
  <ScaleCrop>false</ScaleCrop>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Gupta</dc:creator>
  <cp:keywords/>
  <dc:description/>
  <cp:lastModifiedBy>Manoj Gupta</cp:lastModifiedBy>
  <cp:revision>1</cp:revision>
  <dcterms:created xsi:type="dcterms:W3CDTF">2022-02-24T13:23:00Z</dcterms:created>
  <dcterms:modified xsi:type="dcterms:W3CDTF">2022-02-24T13:23:00Z</dcterms:modified>
</cp:coreProperties>
</file>